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3</w:t>
      </w:r>
      <w:r w:rsidR="00FB73A6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4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:rsidR="00B30F69" w:rsidRPr="00B30F69" w:rsidRDefault="00FB73A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ODRŽANA: 11. travnj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201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:rsidR="00B30F69" w:rsidRPr="00FB73A6" w:rsidRDefault="00B30F69" w:rsidP="00FB73A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Usvajanje zapisnika sa 3</w:t>
      </w:r>
      <w:r w:rsid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 Upravn</w:t>
      </w:r>
      <w:r w:rsidR="007728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 </w:t>
      </w:r>
      <w:r w:rsid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Doma za starije i nemoćne osobe </w:t>
      </w:r>
      <w:r w:rsidR="00FB73A6"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Požega održane 05.03.2019</w:t>
      </w:r>
      <w:r w:rsidRP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</w:t>
      </w:r>
    </w:p>
    <w:p w:rsidR="00FB73A6" w:rsidRDefault="00FB73A6" w:rsidP="00FB18C2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</w:t>
      </w:r>
      <w:bookmarkStart w:id="0" w:name="_GoBack"/>
      <w:bookmarkEnd w:id="0"/>
      <w:r w:rsid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o usvajanju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Rebalansa Financijskog plana za 2019. godinu i Rebalansa Projekcije Financijskog plana za 2020. i 2021. godinu,</w:t>
      </w:r>
    </w:p>
    <w:p w:rsidR="007728CB" w:rsidRDefault="00B30F69" w:rsidP="00FB73A6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</w:t>
      </w:r>
      <w:r w:rsid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o usvajanju </w:t>
      </w:r>
      <w:r w:rsidR="00FB73A6">
        <w:rPr>
          <w:rFonts w:ascii="Times New Roman" w:eastAsia="Times New Roman" w:hAnsi="Times New Roman" w:cs="Times New Roman"/>
          <w:sz w:val="24"/>
          <w:szCs w:val="24"/>
          <w:lang w:eastAsia="hr-HR"/>
        </w:rPr>
        <w:t>I. Izmjena Plana za nefinancijsku imovinu za 2019. godinu</w:t>
      </w:r>
    </w:p>
    <w:p w:rsidR="007728CB" w:rsidRDefault="007728CB" w:rsidP="007728CB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Različito</w:t>
      </w:r>
    </w:p>
    <w:p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69"/>
    <w:rsid w:val="000F66B7"/>
    <w:rsid w:val="007728CB"/>
    <w:rsid w:val="00B258EC"/>
    <w:rsid w:val="00B30F69"/>
    <w:rsid w:val="00C268AE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Korisnik</cp:lastModifiedBy>
  <cp:revision>2</cp:revision>
  <dcterms:created xsi:type="dcterms:W3CDTF">2019-07-15T11:23:00Z</dcterms:created>
  <dcterms:modified xsi:type="dcterms:W3CDTF">2019-07-15T11:23:00Z</dcterms:modified>
</cp:coreProperties>
</file>