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22566" w14:paraId="05D273D2" w14:textId="77777777">
        <w:tblPrEx>
          <w:tblCellMar>
            <w:top w:w="0" w:type="dxa"/>
            <w:bottom w:w="0" w:type="dxa"/>
          </w:tblCellMar>
        </w:tblPrEx>
        <w:trPr>
          <w:tblCellSpacing w:w="60" w:type="dxa"/>
        </w:trPr>
        <w:tc>
          <w:tcPr>
            <w:tcW w:w="1200" w:type="pct"/>
            <w:shd w:val="clear" w:color="auto" w:fill="E7F0F9"/>
          </w:tcPr>
          <w:p w14:paraId="79E348F3" w14:textId="77777777" w:rsidR="00E22566" w:rsidRDefault="00000000">
            <w:pPr>
              <w:spacing w:after="0" w:line="240" w:lineRule="auto"/>
            </w:pPr>
            <w:r>
              <w:rPr>
                <w:b/>
              </w:rPr>
              <w:t>RKP broj</w:t>
            </w:r>
          </w:p>
        </w:tc>
        <w:tc>
          <w:tcPr>
            <w:tcW w:w="0" w:type="auto"/>
            <w:shd w:val="clear" w:color="auto" w:fill="E7F0F9"/>
          </w:tcPr>
          <w:p w14:paraId="1F727A81" w14:textId="77777777" w:rsidR="00E22566" w:rsidRDefault="00000000">
            <w:pPr>
              <w:spacing w:after="0" w:line="240" w:lineRule="auto"/>
            </w:pPr>
            <w:r>
              <w:t>8078</w:t>
            </w:r>
          </w:p>
        </w:tc>
      </w:tr>
      <w:tr w:rsidR="00E22566" w14:paraId="34EC7C51" w14:textId="77777777">
        <w:tblPrEx>
          <w:tblCellMar>
            <w:top w:w="0" w:type="dxa"/>
            <w:bottom w:w="0" w:type="dxa"/>
          </w:tblCellMar>
        </w:tblPrEx>
        <w:trPr>
          <w:tblCellSpacing w:w="60" w:type="dxa"/>
        </w:trPr>
        <w:tc>
          <w:tcPr>
            <w:tcW w:w="1200" w:type="pct"/>
            <w:shd w:val="clear" w:color="auto" w:fill="E7F0F9"/>
          </w:tcPr>
          <w:p w14:paraId="75B1E14E" w14:textId="77777777" w:rsidR="00E22566" w:rsidRDefault="00000000">
            <w:pPr>
              <w:spacing w:after="0" w:line="240" w:lineRule="auto"/>
            </w:pPr>
            <w:r>
              <w:rPr>
                <w:b/>
              </w:rPr>
              <w:t>Naziv obveznika</w:t>
            </w:r>
          </w:p>
        </w:tc>
        <w:tc>
          <w:tcPr>
            <w:tcW w:w="0" w:type="auto"/>
            <w:shd w:val="clear" w:color="auto" w:fill="E7F0F9"/>
          </w:tcPr>
          <w:p w14:paraId="441D5902" w14:textId="77777777" w:rsidR="00E22566" w:rsidRDefault="00000000">
            <w:pPr>
              <w:spacing w:after="0" w:line="240" w:lineRule="auto"/>
            </w:pPr>
            <w:r>
              <w:t>DOM ZA STARIJE I NEMOĆNE OSOBE POŽEGA</w:t>
            </w:r>
          </w:p>
        </w:tc>
      </w:tr>
      <w:tr w:rsidR="00E22566" w14:paraId="64D30F88" w14:textId="77777777">
        <w:tblPrEx>
          <w:tblCellMar>
            <w:top w:w="0" w:type="dxa"/>
            <w:bottom w:w="0" w:type="dxa"/>
          </w:tblCellMar>
        </w:tblPrEx>
        <w:trPr>
          <w:tblCellSpacing w:w="60" w:type="dxa"/>
        </w:trPr>
        <w:tc>
          <w:tcPr>
            <w:tcW w:w="1200" w:type="pct"/>
            <w:shd w:val="clear" w:color="auto" w:fill="E7F0F9"/>
          </w:tcPr>
          <w:p w14:paraId="6F69FA0D" w14:textId="77777777" w:rsidR="00E22566" w:rsidRDefault="00000000">
            <w:pPr>
              <w:spacing w:after="0" w:line="240" w:lineRule="auto"/>
            </w:pPr>
            <w:r>
              <w:rPr>
                <w:b/>
              </w:rPr>
              <w:t>Razina</w:t>
            </w:r>
          </w:p>
        </w:tc>
        <w:tc>
          <w:tcPr>
            <w:tcW w:w="0" w:type="auto"/>
            <w:shd w:val="clear" w:color="auto" w:fill="E7F0F9"/>
          </w:tcPr>
          <w:p w14:paraId="4FAAC1A1" w14:textId="77777777" w:rsidR="00E22566" w:rsidRDefault="00000000">
            <w:pPr>
              <w:spacing w:after="0" w:line="240" w:lineRule="auto"/>
            </w:pPr>
            <w:r>
              <w:t>31</w:t>
            </w:r>
          </w:p>
        </w:tc>
      </w:tr>
    </w:tbl>
    <w:p w14:paraId="1007D0A4" w14:textId="77777777" w:rsidR="00E22566" w:rsidRDefault="00000000">
      <w:r>
        <w:br/>
      </w:r>
    </w:p>
    <w:p w14:paraId="16DBDD33" w14:textId="77777777" w:rsidR="00E22566" w:rsidRDefault="00000000">
      <w:pPr>
        <w:spacing w:line="240" w:lineRule="auto"/>
        <w:jc w:val="center"/>
      </w:pPr>
      <w:r>
        <w:rPr>
          <w:b/>
          <w:sz w:val="28"/>
        </w:rPr>
        <w:t>BILJEŠKE UZ FINANCIJSKE IZVJEŠTAJE</w:t>
      </w:r>
    </w:p>
    <w:p w14:paraId="0BC1BB28" w14:textId="77777777" w:rsidR="00E22566" w:rsidRDefault="00000000">
      <w:pPr>
        <w:spacing w:line="240" w:lineRule="auto"/>
        <w:jc w:val="center"/>
      </w:pPr>
      <w:r>
        <w:rPr>
          <w:b/>
          <w:sz w:val="28"/>
        </w:rPr>
        <w:t>ZA RAZDOBLJE</w:t>
      </w:r>
    </w:p>
    <w:p w14:paraId="2235A7E7" w14:textId="77777777" w:rsidR="00E22566" w:rsidRDefault="00000000">
      <w:pPr>
        <w:spacing w:line="240" w:lineRule="auto"/>
        <w:jc w:val="center"/>
      </w:pPr>
      <w:r>
        <w:rPr>
          <w:b/>
          <w:sz w:val="28"/>
        </w:rPr>
        <w:t>I - XII 2025.</w:t>
      </w:r>
    </w:p>
    <w:p w14:paraId="7F770F7F" w14:textId="77777777" w:rsidR="00E22566" w:rsidRDefault="00E22566"/>
    <w:p w14:paraId="159A7F63" w14:textId="77777777" w:rsidR="00E22566" w:rsidRDefault="00000000">
      <w:pPr>
        <w:keepNext/>
        <w:spacing w:line="240" w:lineRule="auto"/>
        <w:jc w:val="center"/>
      </w:pPr>
      <w:r>
        <w:rPr>
          <w:b/>
          <w:sz w:val="28"/>
        </w:rPr>
        <w:t>Izvještaj o prihodima i rashodima, primicima i izdacima</w:t>
      </w:r>
    </w:p>
    <w:p w14:paraId="6315C35E" w14:textId="77777777" w:rsidR="00E22566"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352AE4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F4D526"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A1F124"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ACBFDB"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48FCDE"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198EFC"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8F5E8C" w14:textId="77777777" w:rsidR="00E22566" w:rsidRDefault="00000000">
            <w:pPr>
              <w:keepNext/>
              <w:keepLines/>
              <w:spacing w:after="0" w:line="240" w:lineRule="auto"/>
              <w:jc w:val="center"/>
            </w:pPr>
            <w:r>
              <w:rPr>
                <w:b/>
                <w:sz w:val="18"/>
              </w:rPr>
              <w:t>Indeks (%)</w:t>
            </w:r>
          </w:p>
        </w:tc>
      </w:tr>
      <w:tr w:rsidR="00E22566" w14:paraId="07F5562A" w14:textId="77777777">
        <w:tblPrEx>
          <w:tblCellMar>
            <w:top w:w="0" w:type="dxa"/>
            <w:bottom w:w="0" w:type="dxa"/>
          </w:tblCellMar>
        </w:tblPrEx>
        <w:trPr>
          <w:cantSplit/>
          <w:trHeight w:val="560"/>
        </w:trPr>
        <w:tc>
          <w:tcPr>
            <w:tcW w:w="700" w:type="dxa"/>
            <w:tcMar>
              <w:top w:w="0" w:type="dxa"/>
              <w:bottom w:w="0" w:type="dxa"/>
            </w:tcMar>
            <w:vAlign w:val="center"/>
          </w:tcPr>
          <w:p w14:paraId="49821D7F" w14:textId="77777777" w:rsidR="00E22566" w:rsidRDefault="00000000">
            <w:pPr>
              <w:keepNext/>
              <w:keepLines/>
              <w:spacing w:after="0" w:line="240" w:lineRule="auto"/>
            </w:pPr>
            <w:r>
              <w:rPr>
                <w:sz w:val="18"/>
              </w:rPr>
              <w:t>6</w:t>
            </w:r>
          </w:p>
        </w:tc>
        <w:tc>
          <w:tcPr>
            <w:tcW w:w="3180" w:type="dxa"/>
            <w:tcMar>
              <w:top w:w="0" w:type="dxa"/>
              <w:bottom w:w="0" w:type="dxa"/>
            </w:tcMar>
            <w:vAlign w:val="center"/>
          </w:tcPr>
          <w:p w14:paraId="1FB27338" w14:textId="77777777" w:rsidR="00E2256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BFAFC45" w14:textId="77777777" w:rsidR="00E22566" w:rsidRDefault="00000000">
            <w:pPr>
              <w:keepNext/>
              <w:keepLines/>
              <w:spacing w:after="0" w:line="240" w:lineRule="auto"/>
            </w:pPr>
            <w:r>
              <w:rPr>
                <w:sz w:val="18"/>
              </w:rPr>
              <w:t>6</w:t>
            </w:r>
          </w:p>
        </w:tc>
        <w:tc>
          <w:tcPr>
            <w:tcW w:w="1860" w:type="dxa"/>
            <w:tcMar>
              <w:top w:w="0" w:type="dxa"/>
              <w:bottom w:w="0" w:type="dxa"/>
            </w:tcMar>
            <w:vAlign w:val="center"/>
          </w:tcPr>
          <w:p w14:paraId="06AC9D24" w14:textId="77777777" w:rsidR="00E22566" w:rsidRDefault="00000000">
            <w:pPr>
              <w:keepNext/>
              <w:keepLines/>
              <w:spacing w:after="0" w:line="240" w:lineRule="auto"/>
              <w:jc w:val="right"/>
            </w:pPr>
            <w:r>
              <w:rPr>
                <w:sz w:val="18"/>
              </w:rPr>
              <w:t>2.095.216,62</w:t>
            </w:r>
          </w:p>
        </w:tc>
        <w:tc>
          <w:tcPr>
            <w:tcW w:w="1860" w:type="dxa"/>
            <w:tcMar>
              <w:top w:w="0" w:type="dxa"/>
              <w:bottom w:w="0" w:type="dxa"/>
            </w:tcMar>
            <w:vAlign w:val="center"/>
          </w:tcPr>
          <w:p w14:paraId="271518CA" w14:textId="77777777" w:rsidR="00E22566" w:rsidRDefault="00000000">
            <w:pPr>
              <w:keepNext/>
              <w:keepLines/>
              <w:spacing w:after="0" w:line="240" w:lineRule="auto"/>
              <w:jc w:val="right"/>
            </w:pPr>
            <w:r>
              <w:rPr>
                <w:sz w:val="18"/>
              </w:rPr>
              <w:t>2.325.782,57</w:t>
            </w:r>
          </w:p>
        </w:tc>
        <w:tc>
          <w:tcPr>
            <w:tcW w:w="700" w:type="dxa"/>
            <w:tcMar>
              <w:top w:w="0" w:type="dxa"/>
              <w:bottom w:w="0" w:type="dxa"/>
            </w:tcMar>
            <w:vAlign w:val="center"/>
          </w:tcPr>
          <w:p w14:paraId="6F64C563" w14:textId="77777777" w:rsidR="00E22566" w:rsidRDefault="00000000">
            <w:pPr>
              <w:keepNext/>
              <w:keepLines/>
              <w:spacing w:after="0" w:line="240" w:lineRule="auto"/>
              <w:jc w:val="right"/>
            </w:pPr>
            <w:r>
              <w:rPr>
                <w:sz w:val="18"/>
              </w:rPr>
              <w:t>111,0</w:t>
            </w:r>
          </w:p>
        </w:tc>
      </w:tr>
      <w:tr w:rsidR="00E22566" w14:paraId="25847343" w14:textId="77777777">
        <w:tblPrEx>
          <w:tblCellMar>
            <w:top w:w="0" w:type="dxa"/>
            <w:bottom w:w="0" w:type="dxa"/>
          </w:tblCellMar>
        </w:tblPrEx>
        <w:trPr>
          <w:cantSplit/>
          <w:trHeight w:val="560"/>
        </w:trPr>
        <w:tc>
          <w:tcPr>
            <w:tcW w:w="700" w:type="dxa"/>
            <w:tcMar>
              <w:top w:w="0" w:type="dxa"/>
              <w:bottom w:w="0" w:type="dxa"/>
            </w:tcMar>
            <w:vAlign w:val="center"/>
          </w:tcPr>
          <w:p w14:paraId="69F72BA6" w14:textId="77777777" w:rsidR="00E22566" w:rsidRDefault="00000000">
            <w:pPr>
              <w:keepNext/>
              <w:keepLines/>
              <w:spacing w:after="0" w:line="240" w:lineRule="auto"/>
            </w:pPr>
            <w:r>
              <w:rPr>
                <w:sz w:val="18"/>
              </w:rPr>
              <w:t>3</w:t>
            </w:r>
          </w:p>
        </w:tc>
        <w:tc>
          <w:tcPr>
            <w:tcW w:w="3180" w:type="dxa"/>
            <w:tcMar>
              <w:top w:w="0" w:type="dxa"/>
              <w:bottom w:w="0" w:type="dxa"/>
            </w:tcMar>
            <w:vAlign w:val="center"/>
          </w:tcPr>
          <w:p w14:paraId="4A526774" w14:textId="77777777" w:rsidR="00E2256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657B969" w14:textId="77777777" w:rsidR="00E22566" w:rsidRDefault="00000000">
            <w:pPr>
              <w:keepNext/>
              <w:keepLines/>
              <w:spacing w:after="0" w:line="240" w:lineRule="auto"/>
            </w:pPr>
            <w:r>
              <w:rPr>
                <w:sz w:val="18"/>
              </w:rPr>
              <w:t>3</w:t>
            </w:r>
          </w:p>
        </w:tc>
        <w:tc>
          <w:tcPr>
            <w:tcW w:w="1860" w:type="dxa"/>
            <w:tcMar>
              <w:top w:w="0" w:type="dxa"/>
              <w:bottom w:w="0" w:type="dxa"/>
            </w:tcMar>
            <w:vAlign w:val="center"/>
          </w:tcPr>
          <w:p w14:paraId="7E70DD0A" w14:textId="77777777" w:rsidR="00E22566" w:rsidRDefault="00000000">
            <w:pPr>
              <w:keepNext/>
              <w:keepLines/>
              <w:spacing w:after="0" w:line="240" w:lineRule="auto"/>
              <w:jc w:val="right"/>
            </w:pPr>
            <w:r>
              <w:rPr>
                <w:sz w:val="18"/>
              </w:rPr>
              <w:t>2.048.380,63</w:t>
            </w:r>
          </w:p>
        </w:tc>
        <w:tc>
          <w:tcPr>
            <w:tcW w:w="1860" w:type="dxa"/>
            <w:tcMar>
              <w:top w:w="0" w:type="dxa"/>
              <w:bottom w:w="0" w:type="dxa"/>
            </w:tcMar>
            <w:vAlign w:val="center"/>
          </w:tcPr>
          <w:p w14:paraId="4ADCB80D" w14:textId="77777777" w:rsidR="00E22566" w:rsidRDefault="00000000">
            <w:pPr>
              <w:keepNext/>
              <w:keepLines/>
              <w:spacing w:after="0" w:line="240" w:lineRule="auto"/>
              <w:jc w:val="right"/>
            </w:pPr>
            <w:r>
              <w:rPr>
                <w:sz w:val="18"/>
              </w:rPr>
              <w:t>2.221.908,50</w:t>
            </w:r>
          </w:p>
        </w:tc>
        <w:tc>
          <w:tcPr>
            <w:tcW w:w="700" w:type="dxa"/>
            <w:tcMar>
              <w:top w:w="0" w:type="dxa"/>
              <w:bottom w:w="0" w:type="dxa"/>
            </w:tcMar>
            <w:vAlign w:val="center"/>
          </w:tcPr>
          <w:p w14:paraId="108DA876" w14:textId="77777777" w:rsidR="00E22566" w:rsidRDefault="00000000">
            <w:pPr>
              <w:keepNext/>
              <w:keepLines/>
              <w:spacing w:after="0" w:line="240" w:lineRule="auto"/>
              <w:jc w:val="right"/>
            </w:pPr>
            <w:r>
              <w:rPr>
                <w:sz w:val="18"/>
              </w:rPr>
              <w:t>108,5</w:t>
            </w:r>
          </w:p>
        </w:tc>
      </w:tr>
      <w:tr w:rsidR="00E22566" w14:paraId="72E77079" w14:textId="77777777">
        <w:tblPrEx>
          <w:tblCellMar>
            <w:top w:w="0" w:type="dxa"/>
            <w:bottom w:w="0" w:type="dxa"/>
          </w:tblCellMar>
        </w:tblPrEx>
        <w:trPr>
          <w:cantSplit/>
          <w:trHeight w:val="560"/>
        </w:trPr>
        <w:tc>
          <w:tcPr>
            <w:tcW w:w="700" w:type="dxa"/>
            <w:tcMar>
              <w:top w:w="0" w:type="dxa"/>
              <w:bottom w:w="0" w:type="dxa"/>
            </w:tcMar>
            <w:vAlign w:val="center"/>
          </w:tcPr>
          <w:p w14:paraId="65469440" w14:textId="77777777" w:rsidR="00E22566" w:rsidRDefault="00E22566">
            <w:pPr>
              <w:keepNext/>
              <w:keepLines/>
              <w:spacing w:after="0" w:line="240" w:lineRule="auto"/>
            </w:pPr>
          </w:p>
        </w:tc>
        <w:tc>
          <w:tcPr>
            <w:tcW w:w="3180" w:type="dxa"/>
            <w:tcMar>
              <w:top w:w="0" w:type="dxa"/>
              <w:bottom w:w="0" w:type="dxa"/>
            </w:tcMar>
            <w:vAlign w:val="center"/>
          </w:tcPr>
          <w:p w14:paraId="5FB23CF4" w14:textId="77777777" w:rsidR="00E22566"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53D95772" w14:textId="77777777" w:rsidR="00E22566" w:rsidRDefault="00000000">
            <w:pPr>
              <w:keepNext/>
              <w:keepLines/>
              <w:spacing w:after="0" w:line="240" w:lineRule="auto"/>
            </w:pPr>
            <w:r>
              <w:rPr>
                <w:b/>
                <w:sz w:val="18"/>
              </w:rPr>
              <w:t>X001</w:t>
            </w:r>
          </w:p>
        </w:tc>
        <w:tc>
          <w:tcPr>
            <w:tcW w:w="1860" w:type="dxa"/>
            <w:tcMar>
              <w:top w:w="0" w:type="dxa"/>
              <w:bottom w:w="0" w:type="dxa"/>
            </w:tcMar>
            <w:vAlign w:val="center"/>
          </w:tcPr>
          <w:p w14:paraId="53FCA573" w14:textId="77777777" w:rsidR="00E22566" w:rsidRDefault="00000000">
            <w:pPr>
              <w:keepNext/>
              <w:keepLines/>
              <w:spacing w:after="0" w:line="240" w:lineRule="auto"/>
              <w:jc w:val="right"/>
            </w:pPr>
            <w:r>
              <w:rPr>
                <w:b/>
                <w:sz w:val="18"/>
              </w:rPr>
              <w:t>46.835,99</w:t>
            </w:r>
          </w:p>
        </w:tc>
        <w:tc>
          <w:tcPr>
            <w:tcW w:w="1860" w:type="dxa"/>
            <w:tcMar>
              <w:top w:w="0" w:type="dxa"/>
              <w:bottom w:w="0" w:type="dxa"/>
            </w:tcMar>
            <w:vAlign w:val="center"/>
          </w:tcPr>
          <w:p w14:paraId="1E642258" w14:textId="77777777" w:rsidR="00E22566" w:rsidRDefault="00000000">
            <w:pPr>
              <w:keepNext/>
              <w:keepLines/>
              <w:spacing w:after="0" w:line="240" w:lineRule="auto"/>
              <w:jc w:val="right"/>
            </w:pPr>
            <w:r>
              <w:rPr>
                <w:b/>
                <w:sz w:val="18"/>
              </w:rPr>
              <w:t>103.874,07</w:t>
            </w:r>
          </w:p>
        </w:tc>
        <w:tc>
          <w:tcPr>
            <w:tcW w:w="700" w:type="dxa"/>
            <w:tcMar>
              <w:top w:w="0" w:type="dxa"/>
              <w:bottom w:w="0" w:type="dxa"/>
            </w:tcMar>
            <w:vAlign w:val="center"/>
          </w:tcPr>
          <w:p w14:paraId="02863D39" w14:textId="77777777" w:rsidR="00E22566" w:rsidRDefault="00000000">
            <w:pPr>
              <w:keepNext/>
              <w:keepLines/>
              <w:spacing w:after="0" w:line="240" w:lineRule="auto"/>
              <w:jc w:val="right"/>
            </w:pPr>
            <w:r>
              <w:rPr>
                <w:b/>
                <w:sz w:val="18"/>
              </w:rPr>
              <w:t>221,8</w:t>
            </w:r>
          </w:p>
        </w:tc>
      </w:tr>
      <w:tr w:rsidR="00E22566" w14:paraId="44E366E9" w14:textId="77777777">
        <w:tblPrEx>
          <w:tblCellMar>
            <w:top w:w="0" w:type="dxa"/>
            <w:bottom w:w="0" w:type="dxa"/>
          </w:tblCellMar>
        </w:tblPrEx>
        <w:trPr>
          <w:cantSplit/>
          <w:trHeight w:val="560"/>
        </w:trPr>
        <w:tc>
          <w:tcPr>
            <w:tcW w:w="700" w:type="dxa"/>
            <w:tcMar>
              <w:top w:w="0" w:type="dxa"/>
              <w:bottom w:w="0" w:type="dxa"/>
            </w:tcMar>
            <w:vAlign w:val="center"/>
          </w:tcPr>
          <w:p w14:paraId="33D2B7B7" w14:textId="77777777" w:rsidR="00E22566" w:rsidRDefault="00000000">
            <w:pPr>
              <w:keepNext/>
              <w:keepLines/>
              <w:spacing w:after="0" w:line="240" w:lineRule="auto"/>
            </w:pPr>
            <w:r>
              <w:rPr>
                <w:sz w:val="18"/>
              </w:rPr>
              <w:t>7</w:t>
            </w:r>
          </w:p>
        </w:tc>
        <w:tc>
          <w:tcPr>
            <w:tcW w:w="3180" w:type="dxa"/>
            <w:tcMar>
              <w:top w:w="0" w:type="dxa"/>
              <w:bottom w:w="0" w:type="dxa"/>
            </w:tcMar>
            <w:vAlign w:val="center"/>
          </w:tcPr>
          <w:p w14:paraId="35DEA54C" w14:textId="77777777" w:rsidR="00E22566"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97828D4" w14:textId="77777777" w:rsidR="00E22566" w:rsidRDefault="00000000">
            <w:pPr>
              <w:keepNext/>
              <w:keepLines/>
              <w:spacing w:after="0" w:line="240" w:lineRule="auto"/>
            </w:pPr>
            <w:r>
              <w:rPr>
                <w:sz w:val="18"/>
              </w:rPr>
              <w:t>7</w:t>
            </w:r>
          </w:p>
        </w:tc>
        <w:tc>
          <w:tcPr>
            <w:tcW w:w="1860" w:type="dxa"/>
            <w:tcMar>
              <w:top w:w="0" w:type="dxa"/>
              <w:bottom w:w="0" w:type="dxa"/>
            </w:tcMar>
            <w:vAlign w:val="center"/>
          </w:tcPr>
          <w:p w14:paraId="51C32D26" w14:textId="77777777" w:rsidR="00E22566" w:rsidRDefault="00000000">
            <w:pPr>
              <w:keepNext/>
              <w:keepLines/>
              <w:spacing w:after="0" w:line="240" w:lineRule="auto"/>
              <w:jc w:val="right"/>
            </w:pPr>
            <w:r>
              <w:rPr>
                <w:sz w:val="18"/>
              </w:rPr>
              <w:t>244,40</w:t>
            </w:r>
          </w:p>
        </w:tc>
        <w:tc>
          <w:tcPr>
            <w:tcW w:w="1860" w:type="dxa"/>
            <w:tcMar>
              <w:top w:w="0" w:type="dxa"/>
              <w:bottom w:w="0" w:type="dxa"/>
            </w:tcMar>
            <w:vAlign w:val="center"/>
          </w:tcPr>
          <w:p w14:paraId="47A7E65E" w14:textId="77777777" w:rsidR="00E22566" w:rsidRDefault="00000000">
            <w:pPr>
              <w:keepNext/>
              <w:keepLines/>
              <w:spacing w:after="0" w:line="240" w:lineRule="auto"/>
              <w:jc w:val="right"/>
            </w:pPr>
            <w:r>
              <w:rPr>
                <w:sz w:val="18"/>
              </w:rPr>
              <w:t>167,20</w:t>
            </w:r>
          </w:p>
        </w:tc>
        <w:tc>
          <w:tcPr>
            <w:tcW w:w="700" w:type="dxa"/>
            <w:tcMar>
              <w:top w:w="0" w:type="dxa"/>
              <w:bottom w:w="0" w:type="dxa"/>
            </w:tcMar>
            <w:vAlign w:val="center"/>
          </w:tcPr>
          <w:p w14:paraId="0F3D7CA4" w14:textId="77777777" w:rsidR="00E22566" w:rsidRDefault="00000000">
            <w:pPr>
              <w:keepNext/>
              <w:keepLines/>
              <w:spacing w:after="0" w:line="240" w:lineRule="auto"/>
              <w:jc w:val="right"/>
            </w:pPr>
            <w:r>
              <w:rPr>
                <w:sz w:val="18"/>
              </w:rPr>
              <w:t>68,4</w:t>
            </w:r>
          </w:p>
        </w:tc>
      </w:tr>
      <w:tr w:rsidR="00E22566" w14:paraId="1F71502E" w14:textId="77777777">
        <w:tblPrEx>
          <w:tblCellMar>
            <w:top w:w="0" w:type="dxa"/>
            <w:bottom w:w="0" w:type="dxa"/>
          </w:tblCellMar>
        </w:tblPrEx>
        <w:trPr>
          <w:cantSplit/>
          <w:trHeight w:val="560"/>
        </w:trPr>
        <w:tc>
          <w:tcPr>
            <w:tcW w:w="700" w:type="dxa"/>
            <w:tcMar>
              <w:top w:w="0" w:type="dxa"/>
              <w:bottom w:w="0" w:type="dxa"/>
            </w:tcMar>
            <w:vAlign w:val="center"/>
          </w:tcPr>
          <w:p w14:paraId="62EFCF7C" w14:textId="77777777" w:rsidR="00E22566" w:rsidRDefault="00000000">
            <w:pPr>
              <w:keepNext/>
              <w:keepLines/>
              <w:spacing w:after="0" w:line="240" w:lineRule="auto"/>
            </w:pPr>
            <w:r>
              <w:rPr>
                <w:sz w:val="18"/>
              </w:rPr>
              <w:t>4</w:t>
            </w:r>
          </w:p>
        </w:tc>
        <w:tc>
          <w:tcPr>
            <w:tcW w:w="3180" w:type="dxa"/>
            <w:tcMar>
              <w:top w:w="0" w:type="dxa"/>
              <w:bottom w:w="0" w:type="dxa"/>
            </w:tcMar>
            <w:vAlign w:val="center"/>
          </w:tcPr>
          <w:p w14:paraId="24F7B5E5" w14:textId="77777777" w:rsidR="00E2256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E09D09B" w14:textId="77777777" w:rsidR="00E22566" w:rsidRDefault="00000000">
            <w:pPr>
              <w:keepNext/>
              <w:keepLines/>
              <w:spacing w:after="0" w:line="240" w:lineRule="auto"/>
            </w:pPr>
            <w:r>
              <w:rPr>
                <w:sz w:val="18"/>
              </w:rPr>
              <w:t>4</w:t>
            </w:r>
          </w:p>
        </w:tc>
        <w:tc>
          <w:tcPr>
            <w:tcW w:w="1860" w:type="dxa"/>
            <w:tcMar>
              <w:top w:w="0" w:type="dxa"/>
              <w:bottom w:w="0" w:type="dxa"/>
            </w:tcMar>
            <w:vAlign w:val="center"/>
          </w:tcPr>
          <w:p w14:paraId="6994AFE9" w14:textId="77777777" w:rsidR="00E22566" w:rsidRDefault="00000000">
            <w:pPr>
              <w:keepNext/>
              <w:keepLines/>
              <w:spacing w:after="0" w:line="240" w:lineRule="auto"/>
              <w:jc w:val="right"/>
            </w:pPr>
            <w:r>
              <w:rPr>
                <w:sz w:val="18"/>
              </w:rPr>
              <w:t>21.772,64</w:t>
            </w:r>
          </w:p>
        </w:tc>
        <w:tc>
          <w:tcPr>
            <w:tcW w:w="1860" w:type="dxa"/>
            <w:tcMar>
              <w:top w:w="0" w:type="dxa"/>
              <w:bottom w:w="0" w:type="dxa"/>
            </w:tcMar>
            <w:vAlign w:val="center"/>
          </w:tcPr>
          <w:p w14:paraId="082D632D" w14:textId="77777777" w:rsidR="00E22566" w:rsidRDefault="00000000">
            <w:pPr>
              <w:keepNext/>
              <w:keepLines/>
              <w:spacing w:after="0" w:line="240" w:lineRule="auto"/>
              <w:jc w:val="right"/>
            </w:pPr>
            <w:r>
              <w:rPr>
                <w:sz w:val="18"/>
              </w:rPr>
              <w:t>113.828,40</w:t>
            </w:r>
          </w:p>
        </w:tc>
        <w:tc>
          <w:tcPr>
            <w:tcW w:w="700" w:type="dxa"/>
            <w:tcMar>
              <w:top w:w="0" w:type="dxa"/>
              <w:bottom w:w="0" w:type="dxa"/>
            </w:tcMar>
            <w:vAlign w:val="center"/>
          </w:tcPr>
          <w:p w14:paraId="50426D8B" w14:textId="77777777" w:rsidR="00E22566" w:rsidRDefault="00000000">
            <w:pPr>
              <w:keepNext/>
              <w:keepLines/>
              <w:spacing w:after="0" w:line="240" w:lineRule="auto"/>
              <w:jc w:val="right"/>
            </w:pPr>
            <w:r>
              <w:rPr>
                <w:sz w:val="18"/>
              </w:rPr>
              <w:t>522,8</w:t>
            </w:r>
          </w:p>
        </w:tc>
      </w:tr>
      <w:tr w:rsidR="00E22566" w14:paraId="6D784662" w14:textId="77777777">
        <w:tblPrEx>
          <w:tblCellMar>
            <w:top w:w="0" w:type="dxa"/>
            <w:bottom w:w="0" w:type="dxa"/>
          </w:tblCellMar>
        </w:tblPrEx>
        <w:trPr>
          <w:cantSplit/>
          <w:trHeight w:val="560"/>
        </w:trPr>
        <w:tc>
          <w:tcPr>
            <w:tcW w:w="700" w:type="dxa"/>
            <w:tcMar>
              <w:top w:w="0" w:type="dxa"/>
              <w:bottom w:w="0" w:type="dxa"/>
            </w:tcMar>
            <w:vAlign w:val="center"/>
          </w:tcPr>
          <w:p w14:paraId="591DB0A7" w14:textId="77777777" w:rsidR="00E22566" w:rsidRDefault="00E22566">
            <w:pPr>
              <w:keepNext/>
              <w:keepLines/>
              <w:spacing w:after="0" w:line="240" w:lineRule="auto"/>
            </w:pPr>
          </w:p>
        </w:tc>
        <w:tc>
          <w:tcPr>
            <w:tcW w:w="3180" w:type="dxa"/>
            <w:tcMar>
              <w:top w:w="0" w:type="dxa"/>
              <w:bottom w:w="0" w:type="dxa"/>
            </w:tcMar>
            <w:vAlign w:val="center"/>
          </w:tcPr>
          <w:p w14:paraId="630EDC7E" w14:textId="77777777" w:rsidR="00E22566"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C2DC835" w14:textId="77777777" w:rsidR="00E22566" w:rsidRDefault="00000000">
            <w:pPr>
              <w:keepNext/>
              <w:keepLines/>
              <w:spacing w:after="0" w:line="240" w:lineRule="auto"/>
            </w:pPr>
            <w:r>
              <w:rPr>
                <w:b/>
                <w:sz w:val="18"/>
              </w:rPr>
              <w:t>Y002</w:t>
            </w:r>
          </w:p>
        </w:tc>
        <w:tc>
          <w:tcPr>
            <w:tcW w:w="1860" w:type="dxa"/>
            <w:tcMar>
              <w:top w:w="0" w:type="dxa"/>
              <w:bottom w:w="0" w:type="dxa"/>
            </w:tcMar>
            <w:vAlign w:val="center"/>
          </w:tcPr>
          <w:p w14:paraId="13666B74" w14:textId="77777777" w:rsidR="00E22566" w:rsidRDefault="00000000">
            <w:pPr>
              <w:keepNext/>
              <w:keepLines/>
              <w:spacing w:after="0" w:line="240" w:lineRule="auto"/>
              <w:jc w:val="right"/>
            </w:pPr>
            <w:r>
              <w:rPr>
                <w:b/>
                <w:sz w:val="18"/>
              </w:rPr>
              <w:t>21.528,24</w:t>
            </w:r>
          </w:p>
        </w:tc>
        <w:tc>
          <w:tcPr>
            <w:tcW w:w="1860" w:type="dxa"/>
            <w:tcMar>
              <w:top w:w="0" w:type="dxa"/>
              <w:bottom w:w="0" w:type="dxa"/>
            </w:tcMar>
            <w:vAlign w:val="center"/>
          </w:tcPr>
          <w:p w14:paraId="5B34FE95" w14:textId="77777777" w:rsidR="00E22566" w:rsidRDefault="00000000">
            <w:pPr>
              <w:keepNext/>
              <w:keepLines/>
              <w:spacing w:after="0" w:line="240" w:lineRule="auto"/>
              <w:jc w:val="right"/>
            </w:pPr>
            <w:r>
              <w:rPr>
                <w:b/>
                <w:sz w:val="18"/>
              </w:rPr>
              <w:t>113.661,20</w:t>
            </w:r>
          </w:p>
        </w:tc>
        <w:tc>
          <w:tcPr>
            <w:tcW w:w="700" w:type="dxa"/>
            <w:tcMar>
              <w:top w:w="0" w:type="dxa"/>
              <w:bottom w:w="0" w:type="dxa"/>
            </w:tcMar>
            <w:vAlign w:val="center"/>
          </w:tcPr>
          <w:p w14:paraId="1B1771DF" w14:textId="77777777" w:rsidR="00E22566" w:rsidRDefault="00000000">
            <w:pPr>
              <w:keepNext/>
              <w:keepLines/>
              <w:spacing w:after="0" w:line="240" w:lineRule="auto"/>
              <w:jc w:val="right"/>
            </w:pPr>
            <w:r>
              <w:rPr>
                <w:b/>
                <w:sz w:val="18"/>
              </w:rPr>
              <w:t>528,0</w:t>
            </w:r>
          </w:p>
        </w:tc>
      </w:tr>
      <w:tr w:rsidR="00E22566" w14:paraId="391ED3B4" w14:textId="77777777">
        <w:tblPrEx>
          <w:tblCellMar>
            <w:top w:w="0" w:type="dxa"/>
            <w:bottom w:w="0" w:type="dxa"/>
          </w:tblCellMar>
        </w:tblPrEx>
        <w:trPr>
          <w:cantSplit/>
          <w:trHeight w:val="560"/>
        </w:trPr>
        <w:tc>
          <w:tcPr>
            <w:tcW w:w="700" w:type="dxa"/>
            <w:tcMar>
              <w:top w:w="0" w:type="dxa"/>
              <w:bottom w:w="0" w:type="dxa"/>
            </w:tcMar>
            <w:vAlign w:val="center"/>
          </w:tcPr>
          <w:p w14:paraId="3A311DA8" w14:textId="77777777" w:rsidR="00E22566" w:rsidRDefault="00000000">
            <w:pPr>
              <w:keepNext/>
              <w:keepLines/>
              <w:spacing w:after="0" w:line="240" w:lineRule="auto"/>
            </w:pPr>
            <w:r>
              <w:rPr>
                <w:sz w:val="18"/>
              </w:rPr>
              <w:t>8</w:t>
            </w:r>
          </w:p>
        </w:tc>
        <w:tc>
          <w:tcPr>
            <w:tcW w:w="3180" w:type="dxa"/>
            <w:tcMar>
              <w:top w:w="0" w:type="dxa"/>
              <w:bottom w:w="0" w:type="dxa"/>
            </w:tcMar>
            <w:vAlign w:val="center"/>
          </w:tcPr>
          <w:p w14:paraId="094B79D8" w14:textId="77777777" w:rsidR="00E2256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F8E15B5" w14:textId="77777777" w:rsidR="00E22566" w:rsidRDefault="00000000">
            <w:pPr>
              <w:keepNext/>
              <w:keepLines/>
              <w:spacing w:after="0" w:line="240" w:lineRule="auto"/>
            </w:pPr>
            <w:r>
              <w:rPr>
                <w:sz w:val="18"/>
              </w:rPr>
              <w:t>8</w:t>
            </w:r>
          </w:p>
        </w:tc>
        <w:tc>
          <w:tcPr>
            <w:tcW w:w="1860" w:type="dxa"/>
            <w:tcMar>
              <w:top w:w="0" w:type="dxa"/>
              <w:bottom w:w="0" w:type="dxa"/>
            </w:tcMar>
            <w:vAlign w:val="center"/>
          </w:tcPr>
          <w:p w14:paraId="78E38A1B" w14:textId="77777777" w:rsidR="00E22566" w:rsidRDefault="00000000">
            <w:pPr>
              <w:keepNext/>
              <w:keepLines/>
              <w:spacing w:after="0" w:line="240" w:lineRule="auto"/>
              <w:jc w:val="right"/>
            </w:pPr>
            <w:r>
              <w:rPr>
                <w:sz w:val="18"/>
              </w:rPr>
              <w:t>0,00</w:t>
            </w:r>
          </w:p>
        </w:tc>
        <w:tc>
          <w:tcPr>
            <w:tcW w:w="1860" w:type="dxa"/>
            <w:tcMar>
              <w:top w:w="0" w:type="dxa"/>
              <w:bottom w:w="0" w:type="dxa"/>
            </w:tcMar>
            <w:vAlign w:val="center"/>
          </w:tcPr>
          <w:p w14:paraId="4C362758" w14:textId="77777777" w:rsidR="00E22566" w:rsidRDefault="00000000">
            <w:pPr>
              <w:keepNext/>
              <w:keepLines/>
              <w:spacing w:after="0" w:line="240" w:lineRule="auto"/>
              <w:jc w:val="right"/>
            </w:pPr>
            <w:r>
              <w:rPr>
                <w:sz w:val="18"/>
              </w:rPr>
              <w:t>0,00</w:t>
            </w:r>
          </w:p>
        </w:tc>
        <w:tc>
          <w:tcPr>
            <w:tcW w:w="700" w:type="dxa"/>
            <w:tcMar>
              <w:top w:w="0" w:type="dxa"/>
              <w:bottom w:w="0" w:type="dxa"/>
            </w:tcMar>
            <w:vAlign w:val="center"/>
          </w:tcPr>
          <w:p w14:paraId="5490266C" w14:textId="77777777" w:rsidR="00E22566" w:rsidRDefault="00000000">
            <w:pPr>
              <w:keepNext/>
              <w:keepLines/>
              <w:spacing w:after="0" w:line="240" w:lineRule="auto"/>
              <w:jc w:val="right"/>
            </w:pPr>
            <w:r>
              <w:rPr>
                <w:sz w:val="18"/>
              </w:rPr>
              <w:t>-</w:t>
            </w:r>
          </w:p>
        </w:tc>
      </w:tr>
      <w:tr w:rsidR="00E22566" w14:paraId="7095496C" w14:textId="77777777">
        <w:tblPrEx>
          <w:tblCellMar>
            <w:top w:w="0" w:type="dxa"/>
            <w:bottom w:w="0" w:type="dxa"/>
          </w:tblCellMar>
        </w:tblPrEx>
        <w:trPr>
          <w:cantSplit/>
          <w:trHeight w:val="560"/>
        </w:trPr>
        <w:tc>
          <w:tcPr>
            <w:tcW w:w="700" w:type="dxa"/>
            <w:tcMar>
              <w:top w:w="0" w:type="dxa"/>
              <w:bottom w:w="0" w:type="dxa"/>
            </w:tcMar>
            <w:vAlign w:val="center"/>
          </w:tcPr>
          <w:p w14:paraId="6EAC6B64" w14:textId="77777777" w:rsidR="00E22566" w:rsidRDefault="00000000">
            <w:pPr>
              <w:keepNext/>
              <w:keepLines/>
              <w:spacing w:after="0" w:line="240" w:lineRule="auto"/>
            </w:pPr>
            <w:r>
              <w:rPr>
                <w:sz w:val="18"/>
              </w:rPr>
              <w:t>5</w:t>
            </w:r>
          </w:p>
        </w:tc>
        <w:tc>
          <w:tcPr>
            <w:tcW w:w="3180" w:type="dxa"/>
            <w:tcMar>
              <w:top w:w="0" w:type="dxa"/>
              <w:bottom w:w="0" w:type="dxa"/>
            </w:tcMar>
            <w:vAlign w:val="center"/>
          </w:tcPr>
          <w:p w14:paraId="67A0D4B6" w14:textId="77777777" w:rsidR="00E22566"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00D2DD9" w14:textId="77777777" w:rsidR="00E22566" w:rsidRDefault="00000000">
            <w:pPr>
              <w:keepNext/>
              <w:keepLines/>
              <w:spacing w:after="0" w:line="240" w:lineRule="auto"/>
            </w:pPr>
            <w:r>
              <w:rPr>
                <w:sz w:val="18"/>
              </w:rPr>
              <w:t>5</w:t>
            </w:r>
          </w:p>
        </w:tc>
        <w:tc>
          <w:tcPr>
            <w:tcW w:w="1860" w:type="dxa"/>
            <w:tcMar>
              <w:top w:w="0" w:type="dxa"/>
              <w:bottom w:w="0" w:type="dxa"/>
            </w:tcMar>
            <w:vAlign w:val="center"/>
          </w:tcPr>
          <w:p w14:paraId="34A4AE9B" w14:textId="77777777" w:rsidR="00E22566" w:rsidRDefault="00000000">
            <w:pPr>
              <w:keepNext/>
              <w:keepLines/>
              <w:spacing w:after="0" w:line="240" w:lineRule="auto"/>
              <w:jc w:val="right"/>
            </w:pPr>
            <w:r>
              <w:rPr>
                <w:sz w:val="18"/>
              </w:rPr>
              <w:t>0,00</w:t>
            </w:r>
          </w:p>
        </w:tc>
        <w:tc>
          <w:tcPr>
            <w:tcW w:w="1860" w:type="dxa"/>
            <w:tcMar>
              <w:top w:w="0" w:type="dxa"/>
              <w:bottom w:w="0" w:type="dxa"/>
            </w:tcMar>
            <w:vAlign w:val="center"/>
          </w:tcPr>
          <w:p w14:paraId="2CCB42CE" w14:textId="77777777" w:rsidR="00E22566" w:rsidRDefault="00000000">
            <w:pPr>
              <w:keepNext/>
              <w:keepLines/>
              <w:spacing w:after="0" w:line="240" w:lineRule="auto"/>
              <w:jc w:val="right"/>
            </w:pPr>
            <w:r>
              <w:rPr>
                <w:sz w:val="18"/>
              </w:rPr>
              <w:t>0,00</w:t>
            </w:r>
          </w:p>
        </w:tc>
        <w:tc>
          <w:tcPr>
            <w:tcW w:w="700" w:type="dxa"/>
            <w:tcMar>
              <w:top w:w="0" w:type="dxa"/>
              <w:bottom w:w="0" w:type="dxa"/>
            </w:tcMar>
            <w:vAlign w:val="center"/>
          </w:tcPr>
          <w:p w14:paraId="0CCEB227" w14:textId="77777777" w:rsidR="00E22566" w:rsidRDefault="00000000">
            <w:pPr>
              <w:keepNext/>
              <w:keepLines/>
              <w:spacing w:after="0" w:line="240" w:lineRule="auto"/>
              <w:jc w:val="right"/>
            </w:pPr>
            <w:r>
              <w:rPr>
                <w:sz w:val="18"/>
              </w:rPr>
              <w:t>-</w:t>
            </w:r>
          </w:p>
        </w:tc>
      </w:tr>
      <w:tr w:rsidR="00E22566" w14:paraId="4878C258" w14:textId="77777777">
        <w:tblPrEx>
          <w:tblCellMar>
            <w:top w:w="0" w:type="dxa"/>
            <w:bottom w:w="0" w:type="dxa"/>
          </w:tblCellMar>
        </w:tblPrEx>
        <w:trPr>
          <w:cantSplit/>
          <w:trHeight w:val="560"/>
        </w:trPr>
        <w:tc>
          <w:tcPr>
            <w:tcW w:w="700" w:type="dxa"/>
            <w:tcMar>
              <w:top w:w="0" w:type="dxa"/>
              <w:bottom w:w="0" w:type="dxa"/>
            </w:tcMar>
            <w:vAlign w:val="center"/>
          </w:tcPr>
          <w:p w14:paraId="2A2EAA79" w14:textId="77777777" w:rsidR="00E22566" w:rsidRDefault="00E22566">
            <w:pPr>
              <w:keepNext/>
              <w:keepLines/>
              <w:spacing w:after="0" w:line="240" w:lineRule="auto"/>
            </w:pPr>
          </w:p>
        </w:tc>
        <w:tc>
          <w:tcPr>
            <w:tcW w:w="3180" w:type="dxa"/>
            <w:tcMar>
              <w:top w:w="0" w:type="dxa"/>
              <w:bottom w:w="0" w:type="dxa"/>
            </w:tcMar>
            <w:vAlign w:val="center"/>
          </w:tcPr>
          <w:p w14:paraId="5B4EAFB5" w14:textId="77777777" w:rsidR="00E22566"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4B7A517" w14:textId="77777777" w:rsidR="00E22566" w:rsidRDefault="00000000">
            <w:pPr>
              <w:keepNext/>
              <w:keepLines/>
              <w:spacing w:after="0" w:line="240" w:lineRule="auto"/>
            </w:pPr>
            <w:r>
              <w:rPr>
                <w:b/>
                <w:sz w:val="18"/>
              </w:rPr>
              <w:t>X003, Y003</w:t>
            </w:r>
          </w:p>
        </w:tc>
        <w:tc>
          <w:tcPr>
            <w:tcW w:w="1860" w:type="dxa"/>
            <w:tcMar>
              <w:top w:w="0" w:type="dxa"/>
              <w:bottom w:w="0" w:type="dxa"/>
            </w:tcMar>
            <w:vAlign w:val="center"/>
          </w:tcPr>
          <w:p w14:paraId="44456A9A" w14:textId="77777777" w:rsidR="00E22566" w:rsidRDefault="00000000">
            <w:pPr>
              <w:keepNext/>
              <w:keepLines/>
              <w:spacing w:after="0" w:line="240" w:lineRule="auto"/>
              <w:jc w:val="right"/>
            </w:pPr>
            <w:r>
              <w:rPr>
                <w:b/>
                <w:sz w:val="18"/>
              </w:rPr>
              <w:t>0,00</w:t>
            </w:r>
          </w:p>
        </w:tc>
        <w:tc>
          <w:tcPr>
            <w:tcW w:w="1860" w:type="dxa"/>
            <w:tcMar>
              <w:top w:w="0" w:type="dxa"/>
              <w:bottom w:w="0" w:type="dxa"/>
            </w:tcMar>
            <w:vAlign w:val="center"/>
          </w:tcPr>
          <w:p w14:paraId="36176A8A" w14:textId="77777777" w:rsidR="00E22566" w:rsidRDefault="00000000">
            <w:pPr>
              <w:keepNext/>
              <w:keepLines/>
              <w:spacing w:after="0" w:line="240" w:lineRule="auto"/>
              <w:jc w:val="right"/>
            </w:pPr>
            <w:r>
              <w:rPr>
                <w:b/>
                <w:sz w:val="18"/>
              </w:rPr>
              <w:t>0,00</w:t>
            </w:r>
          </w:p>
        </w:tc>
        <w:tc>
          <w:tcPr>
            <w:tcW w:w="700" w:type="dxa"/>
            <w:tcMar>
              <w:top w:w="0" w:type="dxa"/>
              <w:bottom w:w="0" w:type="dxa"/>
            </w:tcMar>
            <w:vAlign w:val="center"/>
          </w:tcPr>
          <w:p w14:paraId="3B5F0CBF" w14:textId="77777777" w:rsidR="00E22566" w:rsidRDefault="00000000">
            <w:pPr>
              <w:keepNext/>
              <w:keepLines/>
              <w:spacing w:after="0" w:line="240" w:lineRule="auto"/>
              <w:jc w:val="right"/>
            </w:pPr>
            <w:r>
              <w:rPr>
                <w:b/>
                <w:sz w:val="18"/>
              </w:rPr>
              <w:t>-</w:t>
            </w:r>
          </w:p>
        </w:tc>
      </w:tr>
      <w:tr w:rsidR="00E22566" w14:paraId="1938588B" w14:textId="77777777">
        <w:tblPrEx>
          <w:tblCellMar>
            <w:top w:w="0" w:type="dxa"/>
            <w:bottom w:w="0" w:type="dxa"/>
          </w:tblCellMar>
        </w:tblPrEx>
        <w:trPr>
          <w:cantSplit/>
          <w:trHeight w:val="560"/>
        </w:trPr>
        <w:tc>
          <w:tcPr>
            <w:tcW w:w="700" w:type="dxa"/>
            <w:tcMar>
              <w:top w:w="0" w:type="dxa"/>
              <w:bottom w:w="0" w:type="dxa"/>
            </w:tcMar>
            <w:vAlign w:val="center"/>
          </w:tcPr>
          <w:p w14:paraId="5BC48455" w14:textId="77777777" w:rsidR="00E22566" w:rsidRDefault="00E22566">
            <w:pPr>
              <w:keepNext/>
              <w:keepLines/>
              <w:spacing w:after="0" w:line="240" w:lineRule="auto"/>
            </w:pPr>
          </w:p>
        </w:tc>
        <w:tc>
          <w:tcPr>
            <w:tcW w:w="3180" w:type="dxa"/>
            <w:tcMar>
              <w:top w:w="0" w:type="dxa"/>
              <w:bottom w:w="0" w:type="dxa"/>
            </w:tcMar>
            <w:vAlign w:val="center"/>
          </w:tcPr>
          <w:p w14:paraId="1D158CF8" w14:textId="77777777" w:rsidR="00E22566"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5ECDC2A2" w14:textId="77777777" w:rsidR="00E22566" w:rsidRDefault="00000000">
            <w:pPr>
              <w:keepNext/>
              <w:keepLines/>
              <w:spacing w:after="0" w:line="240" w:lineRule="auto"/>
            </w:pPr>
            <w:r>
              <w:rPr>
                <w:b/>
                <w:sz w:val="18"/>
              </w:rPr>
              <w:t>Y005</w:t>
            </w:r>
          </w:p>
        </w:tc>
        <w:tc>
          <w:tcPr>
            <w:tcW w:w="1860" w:type="dxa"/>
            <w:tcMar>
              <w:top w:w="0" w:type="dxa"/>
              <w:bottom w:w="0" w:type="dxa"/>
            </w:tcMar>
            <w:vAlign w:val="center"/>
          </w:tcPr>
          <w:p w14:paraId="16B0B811" w14:textId="77777777" w:rsidR="00E22566" w:rsidRDefault="00000000">
            <w:pPr>
              <w:keepNext/>
              <w:keepLines/>
              <w:spacing w:after="0" w:line="240" w:lineRule="auto"/>
              <w:jc w:val="right"/>
            </w:pPr>
            <w:r>
              <w:rPr>
                <w:b/>
                <w:sz w:val="18"/>
              </w:rPr>
              <w:t>0,00</w:t>
            </w:r>
          </w:p>
        </w:tc>
        <w:tc>
          <w:tcPr>
            <w:tcW w:w="1860" w:type="dxa"/>
            <w:tcMar>
              <w:top w:w="0" w:type="dxa"/>
              <w:bottom w:w="0" w:type="dxa"/>
            </w:tcMar>
            <w:vAlign w:val="center"/>
          </w:tcPr>
          <w:p w14:paraId="14921748" w14:textId="77777777" w:rsidR="00E22566" w:rsidRDefault="00000000">
            <w:pPr>
              <w:keepNext/>
              <w:keepLines/>
              <w:spacing w:after="0" w:line="240" w:lineRule="auto"/>
              <w:jc w:val="right"/>
            </w:pPr>
            <w:r>
              <w:rPr>
                <w:b/>
                <w:sz w:val="18"/>
              </w:rPr>
              <w:t>9.787,13</w:t>
            </w:r>
          </w:p>
        </w:tc>
        <w:tc>
          <w:tcPr>
            <w:tcW w:w="700" w:type="dxa"/>
            <w:tcMar>
              <w:top w:w="0" w:type="dxa"/>
              <w:bottom w:w="0" w:type="dxa"/>
            </w:tcMar>
            <w:vAlign w:val="center"/>
          </w:tcPr>
          <w:p w14:paraId="4393D3FD" w14:textId="77777777" w:rsidR="00E22566" w:rsidRDefault="00000000">
            <w:pPr>
              <w:keepNext/>
              <w:keepLines/>
              <w:spacing w:after="0" w:line="240" w:lineRule="auto"/>
              <w:jc w:val="right"/>
            </w:pPr>
            <w:r>
              <w:rPr>
                <w:b/>
                <w:sz w:val="18"/>
              </w:rPr>
              <w:t>-</w:t>
            </w:r>
          </w:p>
        </w:tc>
      </w:tr>
    </w:tbl>
    <w:p w14:paraId="21A998DA" w14:textId="77777777" w:rsidR="00E22566" w:rsidRDefault="00E22566">
      <w:pPr>
        <w:spacing w:after="0"/>
      </w:pPr>
    </w:p>
    <w:p w14:paraId="02599A32" w14:textId="77777777" w:rsidR="00E22566" w:rsidRDefault="00000000">
      <w:pPr>
        <w:jc w:val="both"/>
      </w:pPr>
      <w:r>
        <w:t>U razdoblju od 01. siječnja do 31. prosinca 2025. godine prihodi poslovanja ostavareni su u iznosu od 2.325.782,57 EUR. Najznačajnije povećanje prihoda poslovanja ostvareno je od prihoda po posebnim propisima, a ponajprije radi povećanja socijalne usluge smještaja Doma za starije i nemoćne osobe Požega za 49% od 01. rujna 2024. godine. Najznačanije smanjenje prihoda poslovanja bilježi se na prihodima iz nadležnog proračuna za financiranje rashoda poslovanja iz razloga što je u izvještajnom razdoblju prethodne godine od strane Požeško-</w:t>
      </w:r>
      <w:r>
        <w:lastRenderedPageBreak/>
        <w:t>slavonske županije kao osnivača Doma za starije i nemoćne osobe Požega doznačena financijska pomoć za financiranje povećanih rashoda poslovanja tj. rashoda za zaposlene uslijed povećanja koeficijenata za obračun plaće, a budući da u 2025. godini Dom za starije i nemoćne osobe Požega ostvaruje dovoljno prihoda za podmirenje dospjelih obveza, takvi prihodi u predmetnom izvještajnom razdoblju nisu ostvareni. Rashodi poslovanja u razdoblju od 01. siječnja do 31. prosinca 2025. godine ostvareni su u iznosu od 2.221.908,50 EUR. Najznačajnije povećanje rashoda evidentirano je na materijalnim rashodima što je najvećim dijelom posljedica povećanja rashoda za usluge (usluga za tekuće i investicijsko održavanje građevinskih objekata i postrojenja i opreme, usluga promidžbe i informiranja itd). U predmetnom izvještajnom razdoblju ostvarni su prihodi od prodaje nefinancijske imovine u iznosu od 167,20 EUR, dok su rashodi za nefinancijske imovine ostvareni u iznosu od 113.828,40 EUR. Navedeni rashodi se odnose na nabavu novog vatrodojavnog sustava za stambeni dio Doma, klima za stacionar Doma (3 vanjske i 15 unutarnjih jedinica klime), 10 kom medicinskih kreveta, hladnjaka, 2 perilice rublja (od čega je 1 profesionalna perilica rublja) i 33 kom medicinskih stolića za hranjenje. U navedenom razdoblju nije bilo ostvarenih primitaka i izdataka od financijske imovine i zaduživanja. U navedenom razdoblju ukupni prihodi iznose 2.325.949,77 EUR, a ukupni rashodi 2.335.736,90 EUR. U razdoblju od 01. siječnja do 31. prosinca 2025. godine ostvaren je višak prihoda poslovanja u iznosu od 13.874,074 EUR, manjak prihoda od nefinancijske imovine u iznosu od 113.661,20 slijedom čega je na kraju izvještajnog razdoblja ostvaren manjak prihoda i primitaka u iznosu od 9.787,13 EUR, ali budući da Dom za starije i nemoćne osobe Požega ima preneseni manjak iz prijašnjih godina ukupan manjak prihoda i primitaka za pokriće u sljedećem razdoblju iznosi 113.991,67 EUR.</w:t>
      </w:r>
    </w:p>
    <w:p w14:paraId="427D3014" w14:textId="77777777" w:rsidR="00E22566" w:rsidRDefault="00000000">
      <w:r>
        <w:t> </w:t>
      </w:r>
    </w:p>
    <w:p w14:paraId="57AA46C8" w14:textId="77777777" w:rsidR="00E22566" w:rsidRDefault="00000000">
      <w:r>
        <w:br/>
      </w:r>
    </w:p>
    <w:p w14:paraId="3A6A5D7E" w14:textId="77777777" w:rsidR="00E22566"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010D62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9187C3"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120746"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ADF48E"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8BA342"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02F33F"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3A6A50" w14:textId="77777777" w:rsidR="00E22566" w:rsidRDefault="00000000">
            <w:pPr>
              <w:keepNext/>
              <w:keepLines/>
              <w:spacing w:after="0" w:line="240" w:lineRule="auto"/>
              <w:jc w:val="center"/>
            </w:pPr>
            <w:r>
              <w:rPr>
                <w:b/>
                <w:sz w:val="18"/>
              </w:rPr>
              <w:t>Indeks (%)</w:t>
            </w:r>
          </w:p>
        </w:tc>
      </w:tr>
      <w:tr w:rsidR="00E22566" w14:paraId="3A686E92" w14:textId="77777777">
        <w:tblPrEx>
          <w:tblCellMar>
            <w:top w:w="0" w:type="dxa"/>
            <w:bottom w:w="0" w:type="dxa"/>
          </w:tblCellMar>
        </w:tblPrEx>
        <w:trPr>
          <w:cantSplit/>
          <w:trHeight w:val="560"/>
        </w:trPr>
        <w:tc>
          <w:tcPr>
            <w:tcW w:w="700" w:type="dxa"/>
            <w:tcMar>
              <w:top w:w="0" w:type="dxa"/>
              <w:bottom w:w="0" w:type="dxa"/>
            </w:tcMar>
            <w:vAlign w:val="center"/>
          </w:tcPr>
          <w:p w14:paraId="797FC2E3" w14:textId="77777777" w:rsidR="00E22566" w:rsidRDefault="00000000">
            <w:pPr>
              <w:keepNext/>
              <w:keepLines/>
              <w:spacing w:after="0" w:line="240" w:lineRule="auto"/>
            </w:pPr>
            <w:r>
              <w:rPr>
                <w:sz w:val="18"/>
              </w:rPr>
              <w:t>63</w:t>
            </w:r>
          </w:p>
        </w:tc>
        <w:tc>
          <w:tcPr>
            <w:tcW w:w="3180" w:type="dxa"/>
            <w:tcMar>
              <w:top w:w="0" w:type="dxa"/>
              <w:bottom w:w="0" w:type="dxa"/>
            </w:tcMar>
            <w:vAlign w:val="center"/>
          </w:tcPr>
          <w:p w14:paraId="356465CB" w14:textId="77777777" w:rsidR="00E22566"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67A1EE57" w14:textId="77777777" w:rsidR="00E22566" w:rsidRDefault="00000000">
            <w:pPr>
              <w:keepNext/>
              <w:keepLines/>
              <w:spacing w:after="0" w:line="240" w:lineRule="auto"/>
            </w:pPr>
            <w:r>
              <w:rPr>
                <w:sz w:val="18"/>
              </w:rPr>
              <w:t>63</w:t>
            </w:r>
          </w:p>
        </w:tc>
        <w:tc>
          <w:tcPr>
            <w:tcW w:w="1860" w:type="dxa"/>
            <w:tcMar>
              <w:top w:w="0" w:type="dxa"/>
              <w:bottom w:w="0" w:type="dxa"/>
            </w:tcMar>
            <w:vAlign w:val="center"/>
          </w:tcPr>
          <w:p w14:paraId="4A417864" w14:textId="77777777" w:rsidR="00E22566" w:rsidRDefault="00000000">
            <w:pPr>
              <w:keepNext/>
              <w:keepLines/>
              <w:spacing w:after="0" w:line="240" w:lineRule="auto"/>
              <w:jc w:val="right"/>
            </w:pPr>
            <w:r>
              <w:rPr>
                <w:sz w:val="18"/>
              </w:rPr>
              <w:t>14.892,44</w:t>
            </w:r>
          </w:p>
        </w:tc>
        <w:tc>
          <w:tcPr>
            <w:tcW w:w="1860" w:type="dxa"/>
            <w:tcMar>
              <w:top w:w="0" w:type="dxa"/>
              <w:bottom w:w="0" w:type="dxa"/>
            </w:tcMar>
            <w:vAlign w:val="center"/>
          </w:tcPr>
          <w:p w14:paraId="4CB466AD" w14:textId="77777777" w:rsidR="00E22566" w:rsidRDefault="00000000">
            <w:pPr>
              <w:keepNext/>
              <w:keepLines/>
              <w:spacing w:after="0" w:line="240" w:lineRule="auto"/>
              <w:jc w:val="right"/>
            </w:pPr>
            <w:r>
              <w:rPr>
                <w:sz w:val="18"/>
              </w:rPr>
              <w:t>27.733,82</w:t>
            </w:r>
          </w:p>
        </w:tc>
        <w:tc>
          <w:tcPr>
            <w:tcW w:w="700" w:type="dxa"/>
            <w:tcMar>
              <w:top w:w="0" w:type="dxa"/>
              <w:bottom w:w="0" w:type="dxa"/>
            </w:tcMar>
            <w:vAlign w:val="center"/>
          </w:tcPr>
          <w:p w14:paraId="3FD3C63A" w14:textId="77777777" w:rsidR="00E22566" w:rsidRDefault="00000000">
            <w:pPr>
              <w:keepNext/>
              <w:keepLines/>
              <w:spacing w:after="0" w:line="240" w:lineRule="auto"/>
              <w:jc w:val="right"/>
            </w:pPr>
            <w:r>
              <w:rPr>
                <w:sz w:val="18"/>
              </w:rPr>
              <w:t>186,2</w:t>
            </w:r>
          </w:p>
        </w:tc>
      </w:tr>
    </w:tbl>
    <w:p w14:paraId="5366A62A" w14:textId="77777777" w:rsidR="00E22566" w:rsidRDefault="00E22566">
      <w:pPr>
        <w:spacing w:after="0"/>
      </w:pPr>
    </w:p>
    <w:p w14:paraId="24016BE8" w14:textId="77777777" w:rsidR="00E22566" w:rsidRDefault="00000000">
      <w:pPr>
        <w:jc w:val="both"/>
      </w:pPr>
      <w:r>
        <w:t xml:space="preserve">Na kontu 63 Pomoći iz inozemstva i od subjekata unutar općeg proračuna evidentirane su tekuće pomoći iz državnog proračuna, odnosno subvencija za smanjenje troškova električne energije u iznosu od 6.480,00 EUR, te su također evidentirane i tekuće pomoći od izvanproračunskih korsnika u iznosu od 21.253,82 EUR, a koje se odnose na uplaćen ukupan iznos svote plaća za razdoblje od 12.05.2025. do 11.02.2026. godine od strane Hrvatskog zavoda za zapošljavanje za radnike koji su zaposleni u Domu u okviru mjere aktivne politike zapošljavanja Javni rad POSAO+. Navedeni konto 63 je znatno veći u odnosu na isto izvještajno razdoblje prethodne godine iz razloga što je u predmetnom izvještajnom razdoblju ostvaren veći prihod za financiranje plaća zaposlenika u Javnom radu POSAO+, a koji nije bio </w:t>
      </w:r>
      <w:r>
        <w:lastRenderedPageBreak/>
        <w:t>u tolikom iznosu ostvaren u istom izvještajnom razdoblju prethodne godine, zbog manjeg iznosa subvencije i manjeg broja zaposlenih putem navedene mjere.</w:t>
      </w:r>
    </w:p>
    <w:p w14:paraId="6595642B" w14:textId="77777777" w:rsidR="00E22566" w:rsidRDefault="00E22566"/>
    <w:p w14:paraId="2F30AB00" w14:textId="77777777" w:rsidR="00E22566"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093469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1CEF9F"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2191AF"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DEC835"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B366BA"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78E6BB"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3862D5" w14:textId="77777777" w:rsidR="00E22566" w:rsidRDefault="00000000">
            <w:pPr>
              <w:keepNext/>
              <w:keepLines/>
              <w:spacing w:after="0" w:line="240" w:lineRule="auto"/>
              <w:jc w:val="center"/>
            </w:pPr>
            <w:r>
              <w:rPr>
                <w:b/>
                <w:sz w:val="18"/>
              </w:rPr>
              <w:t>Indeks (%)</w:t>
            </w:r>
          </w:p>
        </w:tc>
      </w:tr>
      <w:tr w:rsidR="00E22566" w14:paraId="0401CF78" w14:textId="77777777">
        <w:tblPrEx>
          <w:tblCellMar>
            <w:top w:w="0" w:type="dxa"/>
            <w:bottom w:w="0" w:type="dxa"/>
          </w:tblCellMar>
        </w:tblPrEx>
        <w:trPr>
          <w:cantSplit/>
          <w:trHeight w:val="560"/>
        </w:trPr>
        <w:tc>
          <w:tcPr>
            <w:tcW w:w="700" w:type="dxa"/>
            <w:tcMar>
              <w:top w:w="0" w:type="dxa"/>
              <w:bottom w:w="0" w:type="dxa"/>
            </w:tcMar>
            <w:vAlign w:val="center"/>
          </w:tcPr>
          <w:p w14:paraId="3ABF874C" w14:textId="77777777" w:rsidR="00E22566" w:rsidRDefault="00000000">
            <w:pPr>
              <w:keepNext/>
              <w:keepLines/>
              <w:spacing w:after="0" w:line="240" w:lineRule="auto"/>
            </w:pPr>
            <w:r>
              <w:rPr>
                <w:sz w:val="18"/>
              </w:rPr>
              <w:t>634</w:t>
            </w:r>
          </w:p>
        </w:tc>
        <w:tc>
          <w:tcPr>
            <w:tcW w:w="3180" w:type="dxa"/>
            <w:tcMar>
              <w:top w:w="0" w:type="dxa"/>
              <w:bottom w:w="0" w:type="dxa"/>
            </w:tcMar>
            <w:vAlign w:val="center"/>
          </w:tcPr>
          <w:p w14:paraId="60B652DD" w14:textId="77777777" w:rsidR="00E22566"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4D95C379" w14:textId="77777777" w:rsidR="00E22566" w:rsidRDefault="00000000">
            <w:pPr>
              <w:keepNext/>
              <w:keepLines/>
              <w:spacing w:after="0" w:line="240" w:lineRule="auto"/>
            </w:pPr>
            <w:r>
              <w:rPr>
                <w:sz w:val="18"/>
              </w:rPr>
              <w:t>634</w:t>
            </w:r>
          </w:p>
        </w:tc>
        <w:tc>
          <w:tcPr>
            <w:tcW w:w="1860" w:type="dxa"/>
            <w:tcMar>
              <w:top w:w="0" w:type="dxa"/>
              <w:bottom w:w="0" w:type="dxa"/>
            </w:tcMar>
            <w:vAlign w:val="center"/>
          </w:tcPr>
          <w:p w14:paraId="0578D4F9" w14:textId="77777777" w:rsidR="00E22566" w:rsidRDefault="00000000">
            <w:pPr>
              <w:keepNext/>
              <w:keepLines/>
              <w:spacing w:after="0" w:line="240" w:lineRule="auto"/>
              <w:jc w:val="right"/>
            </w:pPr>
            <w:r>
              <w:rPr>
                <w:sz w:val="18"/>
              </w:rPr>
              <w:t>8.412,44</w:t>
            </w:r>
          </w:p>
        </w:tc>
        <w:tc>
          <w:tcPr>
            <w:tcW w:w="1860" w:type="dxa"/>
            <w:tcMar>
              <w:top w:w="0" w:type="dxa"/>
              <w:bottom w:w="0" w:type="dxa"/>
            </w:tcMar>
            <w:vAlign w:val="center"/>
          </w:tcPr>
          <w:p w14:paraId="078F0A09" w14:textId="77777777" w:rsidR="00E22566" w:rsidRDefault="00000000">
            <w:pPr>
              <w:keepNext/>
              <w:keepLines/>
              <w:spacing w:after="0" w:line="240" w:lineRule="auto"/>
              <w:jc w:val="right"/>
            </w:pPr>
            <w:r>
              <w:rPr>
                <w:sz w:val="18"/>
              </w:rPr>
              <w:t>21.253,82</w:t>
            </w:r>
          </w:p>
        </w:tc>
        <w:tc>
          <w:tcPr>
            <w:tcW w:w="700" w:type="dxa"/>
            <w:tcMar>
              <w:top w:w="0" w:type="dxa"/>
              <w:bottom w:w="0" w:type="dxa"/>
            </w:tcMar>
            <w:vAlign w:val="center"/>
          </w:tcPr>
          <w:p w14:paraId="1580A9E1" w14:textId="77777777" w:rsidR="00E22566" w:rsidRDefault="00000000">
            <w:pPr>
              <w:keepNext/>
              <w:keepLines/>
              <w:spacing w:after="0" w:line="240" w:lineRule="auto"/>
              <w:jc w:val="right"/>
            </w:pPr>
            <w:r>
              <w:rPr>
                <w:sz w:val="18"/>
              </w:rPr>
              <w:t>252,6</w:t>
            </w:r>
          </w:p>
        </w:tc>
      </w:tr>
    </w:tbl>
    <w:p w14:paraId="5480E0F2" w14:textId="77777777" w:rsidR="00E22566" w:rsidRDefault="00E22566">
      <w:pPr>
        <w:spacing w:after="0"/>
      </w:pPr>
    </w:p>
    <w:p w14:paraId="6F428026" w14:textId="77777777" w:rsidR="00E22566" w:rsidRDefault="00000000">
      <w:pPr>
        <w:jc w:val="both"/>
      </w:pPr>
      <w:r>
        <w:t>Konto 634 Pomoći od izvanproračunskih korisnika iznosi 21.253,82 EUR, a odnosi se na uplaćen ukupan iznos svote plaća za razdoblje od 12.05.2025. do 11.02.2026. godine od strane Hrvatskog zavoda za zapošljavanje za radnike koji su zaposleni u Domu za starije i nemoćne osobe Požega u okviru mjere aktivne politike zapošljavanja Javni rad POSAO+. Navedenom mjerom je u 2025. godini u Domu za starije i nemoćne osobe Požega zaposleno 2 osobe. U predmetnom izvještajnom razdoblju ostvaren je veći prihod za financiranje plaća zaposlenika u Javnom radu POSAO+, koji nije bio u tolikom iznosu ostvaren u istom izvještajnom razdoblju prethodne godine, a zbog manjeg iznosa subvencije i manjeg broja zaposlenih putem navedene mjere (1 osoba je bila zaposlena).</w:t>
      </w:r>
    </w:p>
    <w:p w14:paraId="653B22A5" w14:textId="77777777" w:rsidR="00E22566" w:rsidRDefault="00E22566"/>
    <w:p w14:paraId="28AD0310" w14:textId="77777777" w:rsidR="00E22566"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3EE43C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5B3E9A"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7D5FDB"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D31A18"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9CD3C7"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753097"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D5ECA5" w14:textId="77777777" w:rsidR="00E22566" w:rsidRDefault="00000000">
            <w:pPr>
              <w:keepNext/>
              <w:keepLines/>
              <w:spacing w:after="0" w:line="240" w:lineRule="auto"/>
              <w:jc w:val="center"/>
            </w:pPr>
            <w:r>
              <w:rPr>
                <w:b/>
                <w:sz w:val="18"/>
              </w:rPr>
              <w:t>Indeks (%)</w:t>
            </w:r>
          </w:p>
        </w:tc>
      </w:tr>
      <w:tr w:rsidR="00E22566" w14:paraId="4AEDC4FC" w14:textId="77777777">
        <w:tblPrEx>
          <w:tblCellMar>
            <w:top w:w="0" w:type="dxa"/>
            <w:bottom w:w="0" w:type="dxa"/>
          </w:tblCellMar>
        </w:tblPrEx>
        <w:trPr>
          <w:cantSplit/>
          <w:trHeight w:val="560"/>
        </w:trPr>
        <w:tc>
          <w:tcPr>
            <w:tcW w:w="700" w:type="dxa"/>
            <w:tcMar>
              <w:top w:w="0" w:type="dxa"/>
              <w:bottom w:w="0" w:type="dxa"/>
            </w:tcMar>
            <w:vAlign w:val="center"/>
          </w:tcPr>
          <w:p w14:paraId="5503FDCA" w14:textId="77777777" w:rsidR="00E22566" w:rsidRDefault="00000000">
            <w:pPr>
              <w:keepNext/>
              <w:keepLines/>
              <w:spacing w:after="0" w:line="240" w:lineRule="auto"/>
            </w:pPr>
            <w:r>
              <w:rPr>
                <w:sz w:val="18"/>
              </w:rPr>
              <w:t>6413</w:t>
            </w:r>
          </w:p>
        </w:tc>
        <w:tc>
          <w:tcPr>
            <w:tcW w:w="3180" w:type="dxa"/>
            <w:tcMar>
              <w:top w:w="0" w:type="dxa"/>
              <w:bottom w:w="0" w:type="dxa"/>
            </w:tcMar>
            <w:vAlign w:val="center"/>
          </w:tcPr>
          <w:p w14:paraId="152C065A" w14:textId="77777777" w:rsidR="00E22566" w:rsidRDefault="00000000">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54FC679C" w14:textId="77777777" w:rsidR="00E22566" w:rsidRDefault="00000000">
            <w:pPr>
              <w:keepNext/>
              <w:keepLines/>
              <w:spacing w:after="0" w:line="240" w:lineRule="auto"/>
            </w:pPr>
            <w:r>
              <w:rPr>
                <w:sz w:val="18"/>
              </w:rPr>
              <w:t>6413</w:t>
            </w:r>
          </w:p>
        </w:tc>
        <w:tc>
          <w:tcPr>
            <w:tcW w:w="1860" w:type="dxa"/>
            <w:tcMar>
              <w:top w:w="0" w:type="dxa"/>
              <w:bottom w:w="0" w:type="dxa"/>
            </w:tcMar>
            <w:vAlign w:val="center"/>
          </w:tcPr>
          <w:p w14:paraId="721FBF5C" w14:textId="77777777" w:rsidR="00E22566" w:rsidRDefault="00000000">
            <w:pPr>
              <w:keepNext/>
              <w:keepLines/>
              <w:spacing w:after="0" w:line="240" w:lineRule="auto"/>
              <w:jc w:val="right"/>
            </w:pPr>
            <w:r>
              <w:rPr>
                <w:sz w:val="18"/>
              </w:rPr>
              <w:t>1,41</w:t>
            </w:r>
          </w:p>
        </w:tc>
        <w:tc>
          <w:tcPr>
            <w:tcW w:w="1860" w:type="dxa"/>
            <w:tcMar>
              <w:top w:w="0" w:type="dxa"/>
              <w:bottom w:w="0" w:type="dxa"/>
            </w:tcMar>
            <w:vAlign w:val="center"/>
          </w:tcPr>
          <w:p w14:paraId="46FD17A5" w14:textId="77777777" w:rsidR="00E22566" w:rsidRDefault="00000000">
            <w:pPr>
              <w:keepNext/>
              <w:keepLines/>
              <w:spacing w:after="0" w:line="240" w:lineRule="auto"/>
              <w:jc w:val="right"/>
            </w:pPr>
            <w:r>
              <w:rPr>
                <w:sz w:val="18"/>
              </w:rPr>
              <w:t>11,16</w:t>
            </w:r>
          </w:p>
        </w:tc>
        <w:tc>
          <w:tcPr>
            <w:tcW w:w="700" w:type="dxa"/>
            <w:tcMar>
              <w:top w:w="0" w:type="dxa"/>
              <w:bottom w:w="0" w:type="dxa"/>
            </w:tcMar>
            <w:vAlign w:val="center"/>
          </w:tcPr>
          <w:p w14:paraId="7680EC14" w14:textId="77777777" w:rsidR="00E22566" w:rsidRDefault="00000000">
            <w:pPr>
              <w:keepNext/>
              <w:keepLines/>
              <w:spacing w:after="0" w:line="240" w:lineRule="auto"/>
              <w:jc w:val="right"/>
            </w:pPr>
            <w:r>
              <w:rPr>
                <w:sz w:val="18"/>
              </w:rPr>
              <w:t>791,5</w:t>
            </w:r>
          </w:p>
        </w:tc>
      </w:tr>
    </w:tbl>
    <w:p w14:paraId="1EAACBFE" w14:textId="77777777" w:rsidR="00E22566" w:rsidRDefault="00E22566">
      <w:pPr>
        <w:spacing w:after="0"/>
      </w:pPr>
    </w:p>
    <w:p w14:paraId="19609DF3" w14:textId="77777777" w:rsidR="00E22566" w:rsidRDefault="00000000">
      <w:pPr>
        <w:jc w:val="both"/>
      </w:pPr>
      <w:r>
        <w:t>Konto 6413 Kamate na oročena sredstva i depozite po viđenju iznose 11,16 EUR i odnose se na pasivne kamate banke po sredstvima na tekućem računu, a koje su u istom izvještajnom razdoblju prethodne godine bile obračunate u manjem iznosu.</w:t>
      </w:r>
    </w:p>
    <w:p w14:paraId="2A98427A" w14:textId="77777777" w:rsidR="00E22566" w:rsidRDefault="00000000">
      <w:r>
        <w:t> </w:t>
      </w:r>
    </w:p>
    <w:p w14:paraId="2E3B1BF0" w14:textId="77777777" w:rsidR="00E22566" w:rsidRDefault="00E22566"/>
    <w:p w14:paraId="2CAB82F5" w14:textId="77777777" w:rsidR="00E22566"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09CB7C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CBB065"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3ADFCC"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A84511"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6E5A3F"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88EEC8"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3D3949" w14:textId="77777777" w:rsidR="00E22566" w:rsidRDefault="00000000">
            <w:pPr>
              <w:keepNext/>
              <w:keepLines/>
              <w:spacing w:after="0" w:line="240" w:lineRule="auto"/>
              <w:jc w:val="center"/>
            </w:pPr>
            <w:r>
              <w:rPr>
                <w:b/>
                <w:sz w:val="18"/>
              </w:rPr>
              <w:t>Indeks (%)</w:t>
            </w:r>
          </w:p>
        </w:tc>
      </w:tr>
      <w:tr w:rsidR="00E22566" w14:paraId="773D4B55" w14:textId="77777777">
        <w:tblPrEx>
          <w:tblCellMar>
            <w:top w:w="0" w:type="dxa"/>
            <w:bottom w:w="0" w:type="dxa"/>
          </w:tblCellMar>
        </w:tblPrEx>
        <w:trPr>
          <w:cantSplit/>
          <w:trHeight w:val="560"/>
        </w:trPr>
        <w:tc>
          <w:tcPr>
            <w:tcW w:w="700" w:type="dxa"/>
            <w:tcMar>
              <w:top w:w="0" w:type="dxa"/>
              <w:bottom w:w="0" w:type="dxa"/>
            </w:tcMar>
            <w:vAlign w:val="center"/>
          </w:tcPr>
          <w:p w14:paraId="5E6343C8" w14:textId="77777777" w:rsidR="00E22566" w:rsidRDefault="00000000">
            <w:pPr>
              <w:keepNext/>
              <w:keepLines/>
              <w:spacing w:after="0" w:line="240" w:lineRule="auto"/>
            </w:pPr>
            <w:r>
              <w:rPr>
                <w:sz w:val="18"/>
              </w:rPr>
              <w:t>6414</w:t>
            </w:r>
          </w:p>
        </w:tc>
        <w:tc>
          <w:tcPr>
            <w:tcW w:w="3180" w:type="dxa"/>
            <w:tcMar>
              <w:top w:w="0" w:type="dxa"/>
              <w:bottom w:w="0" w:type="dxa"/>
            </w:tcMar>
            <w:vAlign w:val="center"/>
          </w:tcPr>
          <w:p w14:paraId="212C44EC" w14:textId="77777777" w:rsidR="00E22566" w:rsidRDefault="00000000">
            <w:pPr>
              <w:keepNext/>
              <w:keepLines/>
              <w:spacing w:after="0" w:line="240" w:lineRule="auto"/>
            </w:pPr>
            <w:r>
              <w:rPr>
                <w:sz w:val="18"/>
              </w:rPr>
              <w:t>Prihodi od zateznih kamata</w:t>
            </w:r>
          </w:p>
        </w:tc>
        <w:tc>
          <w:tcPr>
            <w:tcW w:w="700" w:type="dxa"/>
            <w:tcMar>
              <w:top w:w="0" w:type="dxa"/>
              <w:bottom w:w="0" w:type="dxa"/>
            </w:tcMar>
            <w:vAlign w:val="center"/>
          </w:tcPr>
          <w:p w14:paraId="3A5CCF7A" w14:textId="77777777" w:rsidR="00E22566" w:rsidRDefault="00000000">
            <w:pPr>
              <w:keepNext/>
              <w:keepLines/>
              <w:spacing w:after="0" w:line="240" w:lineRule="auto"/>
            </w:pPr>
            <w:r>
              <w:rPr>
                <w:sz w:val="18"/>
              </w:rPr>
              <w:t>6414</w:t>
            </w:r>
          </w:p>
        </w:tc>
        <w:tc>
          <w:tcPr>
            <w:tcW w:w="1860" w:type="dxa"/>
            <w:tcMar>
              <w:top w:w="0" w:type="dxa"/>
              <w:bottom w:w="0" w:type="dxa"/>
            </w:tcMar>
            <w:vAlign w:val="center"/>
          </w:tcPr>
          <w:p w14:paraId="15904893" w14:textId="77777777" w:rsidR="00E22566" w:rsidRDefault="00000000">
            <w:pPr>
              <w:keepNext/>
              <w:keepLines/>
              <w:spacing w:after="0" w:line="240" w:lineRule="auto"/>
              <w:jc w:val="right"/>
            </w:pPr>
            <w:r>
              <w:rPr>
                <w:sz w:val="18"/>
              </w:rPr>
              <w:t>2.915,83</w:t>
            </w:r>
          </w:p>
        </w:tc>
        <w:tc>
          <w:tcPr>
            <w:tcW w:w="1860" w:type="dxa"/>
            <w:tcMar>
              <w:top w:w="0" w:type="dxa"/>
              <w:bottom w:w="0" w:type="dxa"/>
            </w:tcMar>
            <w:vAlign w:val="center"/>
          </w:tcPr>
          <w:p w14:paraId="5B3CED4B" w14:textId="77777777" w:rsidR="00E22566" w:rsidRDefault="00000000">
            <w:pPr>
              <w:keepNext/>
              <w:keepLines/>
              <w:spacing w:after="0" w:line="240" w:lineRule="auto"/>
              <w:jc w:val="right"/>
            </w:pPr>
            <w:r>
              <w:rPr>
                <w:sz w:val="18"/>
              </w:rPr>
              <w:t>9.431,54</w:t>
            </w:r>
          </w:p>
        </w:tc>
        <w:tc>
          <w:tcPr>
            <w:tcW w:w="700" w:type="dxa"/>
            <w:tcMar>
              <w:top w:w="0" w:type="dxa"/>
              <w:bottom w:w="0" w:type="dxa"/>
            </w:tcMar>
            <w:vAlign w:val="center"/>
          </w:tcPr>
          <w:p w14:paraId="4B68316F" w14:textId="77777777" w:rsidR="00E22566" w:rsidRDefault="00000000">
            <w:pPr>
              <w:keepNext/>
              <w:keepLines/>
              <w:spacing w:after="0" w:line="240" w:lineRule="auto"/>
              <w:jc w:val="right"/>
            </w:pPr>
            <w:r>
              <w:rPr>
                <w:sz w:val="18"/>
              </w:rPr>
              <w:t>323,5</w:t>
            </w:r>
          </w:p>
        </w:tc>
      </w:tr>
    </w:tbl>
    <w:p w14:paraId="057FFE2F" w14:textId="77777777" w:rsidR="00E22566" w:rsidRDefault="00E22566">
      <w:pPr>
        <w:spacing w:after="0"/>
      </w:pPr>
    </w:p>
    <w:p w14:paraId="1A46FFC2" w14:textId="77777777" w:rsidR="00E22566" w:rsidRDefault="00000000">
      <w:pPr>
        <w:jc w:val="both"/>
      </w:pPr>
      <w:r>
        <w:t xml:space="preserve">Konto 6414 Prihodi od zateznih kamata iznose 9.431,54, a odnose na uplaćen iznos zateznih kamata za zastarijelo potraživanje za korisnicu Ružu Galić u korist Doma za starije i nemoćne </w:t>
      </w:r>
      <w:r>
        <w:lastRenderedPageBreak/>
        <w:t>osobe Požega, a pri čemu je i ukupno zastarijelo potraživanje (glavnica+kamata) tj. dug u cijelosti naplaćen.</w:t>
      </w:r>
    </w:p>
    <w:p w14:paraId="30CE6F2C" w14:textId="77777777" w:rsidR="00E22566" w:rsidRDefault="00000000">
      <w:r>
        <w:t> </w:t>
      </w:r>
    </w:p>
    <w:p w14:paraId="7A8BBF93" w14:textId="77777777" w:rsidR="00E22566" w:rsidRDefault="00E22566"/>
    <w:p w14:paraId="5E416D60" w14:textId="77777777" w:rsidR="00E22566"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3EF7BF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0DE933"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B7FD88"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860021"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BFD4E6"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572609"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5B2719" w14:textId="77777777" w:rsidR="00E22566" w:rsidRDefault="00000000">
            <w:pPr>
              <w:keepNext/>
              <w:keepLines/>
              <w:spacing w:after="0" w:line="240" w:lineRule="auto"/>
              <w:jc w:val="center"/>
            </w:pPr>
            <w:r>
              <w:rPr>
                <w:b/>
                <w:sz w:val="18"/>
              </w:rPr>
              <w:t>Indeks (%)</w:t>
            </w:r>
          </w:p>
        </w:tc>
      </w:tr>
      <w:tr w:rsidR="00E22566" w14:paraId="240C8C62" w14:textId="77777777">
        <w:tblPrEx>
          <w:tblCellMar>
            <w:top w:w="0" w:type="dxa"/>
            <w:bottom w:w="0" w:type="dxa"/>
          </w:tblCellMar>
        </w:tblPrEx>
        <w:trPr>
          <w:cantSplit/>
          <w:trHeight w:val="560"/>
        </w:trPr>
        <w:tc>
          <w:tcPr>
            <w:tcW w:w="700" w:type="dxa"/>
            <w:tcMar>
              <w:top w:w="0" w:type="dxa"/>
              <w:bottom w:w="0" w:type="dxa"/>
            </w:tcMar>
            <w:vAlign w:val="center"/>
          </w:tcPr>
          <w:p w14:paraId="41778E2A" w14:textId="77777777" w:rsidR="00E22566" w:rsidRDefault="00000000">
            <w:pPr>
              <w:keepNext/>
              <w:keepLines/>
              <w:spacing w:after="0" w:line="240" w:lineRule="auto"/>
            </w:pPr>
            <w:r>
              <w:rPr>
                <w:sz w:val="18"/>
              </w:rPr>
              <w:t>6526</w:t>
            </w:r>
          </w:p>
        </w:tc>
        <w:tc>
          <w:tcPr>
            <w:tcW w:w="3180" w:type="dxa"/>
            <w:tcMar>
              <w:top w:w="0" w:type="dxa"/>
              <w:bottom w:w="0" w:type="dxa"/>
            </w:tcMar>
            <w:vAlign w:val="center"/>
          </w:tcPr>
          <w:p w14:paraId="2295CBBC" w14:textId="77777777" w:rsidR="00E22566" w:rsidRDefault="00000000">
            <w:pPr>
              <w:keepNext/>
              <w:keepLines/>
              <w:spacing w:after="0" w:line="240" w:lineRule="auto"/>
            </w:pPr>
            <w:r>
              <w:rPr>
                <w:sz w:val="18"/>
              </w:rPr>
              <w:t>Ostali nespomenuti prihodi</w:t>
            </w:r>
          </w:p>
        </w:tc>
        <w:tc>
          <w:tcPr>
            <w:tcW w:w="700" w:type="dxa"/>
            <w:tcMar>
              <w:top w:w="0" w:type="dxa"/>
              <w:bottom w:w="0" w:type="dxa"/>
            </w:tcMar>
            <w:vAlign w:val="center"/>
          </w:tcPr>
          <w:p w14:paraId="67B5A30B" w14:textId="77777777" w:rsidR="00E22566" w:rsidRDefault="00000000">
            <w:pPr>
              <w:keepNext/>
              <w:keepLines/>
              <w:spacing w:after="0" w:line="240" w:lineRule="auto"/>
            </w:pPr>
            <w:r>
              <w:rPr>
                <w:sz w:val="18"/>
              </w:rPr>
              <w:t>6526</w:t>
            </w:r>
          </w:p>
        </w:tc>
        <w:tc>
          <w:tcPr>
            <w:tcW w:w="1860" w:type="dxa"/>
            <w:tcMar>
              <w:top w:w="0" w:type="dxa"/>
              <w:bottom w:w="0" w:type="dxa"/>
            </w:tcMar>
            <w:vAlign w:val="center"/>
          </w:tcPr>
          <w:p w14:paraId="3E3CBC3B" w14:textId="77777777" w:rsidR="00E22566" w:rsidRDefault="00000000">
            <w:pPr>
              <w:keepNext/>
              <w:keepLines/>
              <w:spacing w:after="0" w:line="240" w:lineRule="auto"/>
              <w:jc w:val="right"/>
            </w:pPr>
            <w:r>
              <w:rPr>
                <w:sz w:val="18"/>
              </w:rPr>
              <w:t>1.231.928,37</w:t>
            </w:r>
          </w:p>
        </w:tc>
        <w:tc>
          <w:tcPr>
            <w:tcW w:w="1860" w:type="dxa"/>
            <w:tcMar>
              <w:top w:w="0" w:type="dxa"/>
              <w:bottom w:w="0" w:type="dxa"/>
            </w:tcMar>
            <w:vAlign w:val="center"/>
          </w:tcPr>
          <w:p w14:paraId="3B0DF81A" w14:textId="77777777" w:rsidR="00E22566" w:rsidRDefault="00000000">
            <w:pPr>
              <w:keepNext/>
              <w:keepLines/>
              <w:spacing w:after="0" w:line="240" w:lineRule="auto"/>
              <w:jc w:val="right"/>
            </w:pPr>
            <w:r>
              <w:rPr>
                <w:sz w:val="18"/>
              </w:rPr>
              <w:t>1.574.811,34</w:t>
            </w:r>
          </w:p>
        </w:tc>
        <w:tc>
          <w:tcPr>
            <w:tcW w:w="700" w:type="dxa"/>
            <w:tcMar>
              <w:top w:w="0" w:type="dxa"/>
              <w:bottom w:w="0" w:type="dxa"/>
            </w:tcMar>
            <w:vAlign w:val="center"/>
          </w:tcPr>
          <w:p w14:paraId="21F3E107" w14:textId="77777777" w:rsidR="00E22566" w:rsidRDefault="00000000">
            <w:pPr>
              <w:keepNext/>
              <w:keepLines/>
              <w:spacing w:after="0" w:line="240" w:lineRule="auto"/>
              <w:jc w:val="right"/>
            </w:pPr>
            <w:r>
              <w:rPr>
                <w:sz w:val="18"/>
              </w:rPr>
              <w:t>127,8</w:t>
            </w:r>
          </w:p>
        </w:tc>
      </w:tr>
    </w:tbl>
    <w:p w14:paraId="10723FFB" w14:textId="77777777" w:rsidR="00E22566" w:rsidRDefault="00E22566">
      <w:pPr>
        <w:spacing w:after="0"/>
      </w:pPr>
    </w:p>
    <w:p w14:paraId="0A0D3264" w14:textId="77777777" w:rsidR="00E22566" w:rsidRDefault="00000000">
      <w:pPr>
        <w:jc w:val="both"/>
      </w:pPr>
      <w:r>
        <w:t>Konto 6526 Ostali nespomenuti prihodi ostvareni su u iznosu od 1.574.811,34 EUR i odnose  se na prihode od socijalne usluge smještaja i prihoda s naslova osiguranja, refundacije štete i totalne štete, a od čega se 196,25 EUR odnosi na prihode s naslova osiguranja, refundacije štete i totalne štete. Iznos na kontu 6526 je za 27,8% veći u odnosu na isto izvještajno razdoblje prethodne godine jer je cijena usluge smještaja rasla od 01.09.2024. godine za 49%.</w:t>
      </w:r>
    </w:p>
    <w:p w14:paraId="3752CE44" w14:textId="77777777" w:rsidR="00E22566" w:rsidRDefault="00000000">
      <w:r>
        <w:t> </w:t>
      </w:r>
    </w:p>
    <w:p w14:paraId="7EBFD96C" w14:textId="77777777" w:rsidR="00E22566" w:rsidRDefault="00E22566"/>
    <w:p w14:paraId="2104F275" w14:textId="77777777" w:rsidR="00E22566"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601ABD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D62D79"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9B52ED"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C90B04"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B865C8"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256E84"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0D9504" w14:textId="77777777" w:rsidR="00E22566" w:rsidRDefault="00000000">
            <w:pPr>
              <w:keepNext/>
              <w:keepLines/>
              <w:spacing w:after="0" w:line="240" w:lineRule="auto"/>
              <w:jc w:val="center"/>
            </w:pPr>
            <w:r>
              <w:rPr>
                <w:b/>
                <w:sz w:val="18"/>
              </w:rPr>
              <w:t>Indeks (%)</w:t>
            </w:r>
          </w:p>
        </w:tc>
      </w:tr>
      <w:tr w:rsidR="00E22566" w14:paraId="2AE50CBB" w14:textId="77777777">
        <w:tblPrEx>
          <w:tblCellMar>
            <w:top w:w="0" w:type="dxa"/>
            <w:bottom w:w="0" w:type="dxa"/>
          </w:tblCellMar>
        </w:tblPrEx>
        <w:trPr>
          <w:cantSplit/>
          <w:trHeight w:val="560"/>
        </w:trPr>
        <w:tc>
          <w:tcPr>
            <w:tcW w:w="700" w:type="dxa"/>
            <w:tcMar>
              <w:top w:w="0" w:type="dxa"/>
              <w:bottom w:w="0" w:type="dxa"/>
            </w:tcMar>
            <w:vAlign w:val="center"/>
          </w:tcPr>
          <w:p w14:paraId="7CD94C61" w14:textId="77777777" w:rsidR="00E22566" w:rsidRDefault="00000000">
            <w:pPr>
              <w:keepNext/>
              <w:keepLines/>
              <w:spacing w:after="0" w:line="240" w:lineRule="auto"/>
            </w:pPr>
            <w:r>
              <w:rPr>
                <w:sz w:val="18"/>
              </w:rPr>
              <w:t>6615</w:t>
            </w:r>
          </w:p>
        </w:tc>
        <w:tc>
          <w:tcPr>
            <w:tcW w:w="3180" w:type="dxa"/>
            <w:tcMar>
              <w:top w:w="0" w:type="dxa"/>
              <w:bottom w:w="0" w:type="dxa"/>
            </w:tcMar>
            <w:vAlign w:val="center"/>
          </w:tcPr>
          <w:p w14:paraId="375412EF" w14:textId="77777777" w:rsidR="00E22566"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2F6731AB" w14:textId="77777777" w:rsidR="00E22566" w:rsidRDefault="00000000">
            <w:pPr>
              <w:keepNext/>
              <w:keepLines/>
              <w:spacing w:after="0" w:line="240" w:lineRule="auto"/>
            </w:pPr>
            <w:r>
              <w:rPr>
                <w:sz w:val="18"/>
              </w:rPr>
              <w:t>6615</w:t>
            </w:r>
          </w:p>
        </w:tc>
        <w:tc>
          <w:tcPr>
            <w:tcW w:w="1860" w:type="dxa"/>
            <w:tcMar>
              <w:top w:w="0" w:type="dxa"/>
              <w:bottom w:w="0" w:type="dxa"/>
            </w:tcMar>
            <w:vAlign w:val="center"/>
          </w:tcPr>
          <w:p w14:paraId="24E9349B" w14:textId="77777777" w:rsidR="00E22566" w:rsidRDefault="00000000">
            <w:pPr>
              <w:keepNext/>
              <w:keepLines/>
              <w:spacing w:after="0" w:line="240" w:lineRule="auto"/>
              <w:jc w:val="right"/>
            </w:pPr>
            <w:r>
              <w:rPr>
                <w:sz w:val="18"/>
              </w:rPr>
              <w:t>9.015,12</w:t>
            </w:r>
          </w:p>
        </w:tc>
        <w:tc>
          <w:tcPr>
            <w:tcW w:w="1860" w:type="dxa"/>
            <w:tcMar>
              <w:top w:w="0" w:type="dxa"/>
              <w:bottom w:w="0" w:type="dxa"/>
            </w:tcMar>
            <w:vAlign w:val="center"/>
          </w:tcPr>
          <w:p w14:paraId="2193DCBA" w14:textId="77777777" w:rsidR="00E22566" w:rsidRDefault="00000000">
            <w:pPr>
              <w:keepNext/>
              <w:keepLines/>
              <w:spacing w:after="0" w:line="240" w:lineRule="auto"/>
              <w:jc w:val="right"/>
            </w:pPr>
            <w:r>
              <w:rPr>
                <w:sz w:val="18"/>
              </w:rPr>
              <w:t>9.065,46</w:t>
            </w:r>
          </w:p>
        </w:tc>
        <w:tc>
          <w:tcPr>
            <w:tcW w:w="700" w:type="dxa"/>
            <w:tcMar>
              <w:top w:w="0" w:type="dxa"/>
              <w:bottom w:w="0" w:type="dxa"/>
            </w:tcMar>
            <w:vAlign w:val="center"/>
          </w:tcPr>
          <w:p w14:paraId="40878ACF" w14:textId="77777777" w:rsidR="00E22566" w:rsidRDefault="00000000">
            <w:pPr>
              <w:keepNext/>
              <w:keepLines/>
              <w:spacing w:after="0" w:line="240" w:lineRule="auto"/>
              <w:jc w:val="right"/>
            </w:pPr>
            <w:r>
              <w:rPr>
                <w:sz w:val="18"/>
              </w:rPr>
              <w:t>100,6</w:t>
            </w:r>
          </w:p>
        </w:tc>
      </w:tr>
    </w:tbl>
    <w:p w14:paraId="30261A22" w14:textId="77777777" w:rsidR="00E22566" w:rsidRDefault="00E22566">
      <w:pPr>
        <w:spacing w:after="0"/>
      </w:pPr>
    </w:p>
    <w:p w14:paraId="40C546AB" w14:textId="77777777" w:rsidR="00E22566" w:rsidRDefault="00000000">
      <w:pPr>
        <w:jc w:val="both"/>
      </w:pPr>
      <w:r>
        <w:t>Konto 6615 Prihodi od pruženih usluga – vlastiti prihodi od obavljanja poslova na tržištu (najam i režije) u 2025. godini iznose 9.065,46 EUR i veći su za 0,6% u odnosu na isto izvještajno razdoblje prethodne godine, a zbog većeg iznosa režija (voda i plin) budući da se cijena najma nije mijenjala.</w:t>
      </w:r>
    </w:p>
    <w:p w14:paraId="6B34F06D" w14:textId="77777777" w:rsidR="00E22566" w:rsidRDefault="00E22566"/>
    <w:p w14:paraId="68F86B6C" w14:textId="77777777" w:rsidR="00E22566"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2BF0B5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3E08BF"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E23A2F"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DF231F"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533475"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1017F7"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741FB2" w14:textId="77777777" w:rsidR="00E22566" w:rsidRDefault="00000000">
            <w:pPr>
              <w:keepNext/>
              <w:keepLines/>
              <w:spacing w:after="0" w:line="240" w:lineRule="auto"/>
              <w:jc w:val="center"/>
            </w:pPr>
            <w:r>
              <w:rPr>
                <w:b/>
                <w:sz w:val="18"/>
              </w:rPr>
              <w:t>Indeks (%)</w:t>
            </w:r>
          </w:p>
        </w:tc>
      </w:tr>
      <w:tr w:rsidR="00E22566" w14:paraId="7925835D" w14:textId="77777777">
        <w:tblPrEx>
          <w:tblCellMar>
            <w:top w:w="0" w:type="dxa"/>
            <w:bottom w:w="0" w:type="dxa"/>
          </w:tblCellMar>
        </w:tblPrEx>
        <w:trPr>
          <w:cantSplit/>
          <w:trHeight w:val="560"/>
        </w:trPr>
        <w:tc>
          <w:tcPr>
            <w:tcW w:w="700" w:type="dxa"/>
            <w:tcMar>
              <w:top w:w="0" w:type="dxa"/>
              <w:bottom w:w="0" w:type="dxa"/>
            </w:tcMar>
            <w:vAlign w:val="center"/>
          </w:tcPr>
          <w:p w14:paraId="4C756DCE" w14:textId="77777777" w:rsidR="00E22566" w:rsidRDefault="00000000">
            <w:pPr>
              <w:keepNext/>
              <w:keepLines/>
              <w:spacing w:after="0" w:line="240" w:lineRule="auto"/>
            </w:pPr>
            <w:r>
              <w:rPr>
                <w:sz w:val="18"/>
              </w:rPr>
              <w:t>6711</w:t>
            </w:r>
          </w:p>
        </w:tc>
        <w:tc>
          <w:tcPr>
            <w:tcW w:w="3180" w:type="dxa"/>
            <w:tcMar>
              <w:top w:w="0" w:type="dxa"/>
              <w:bottom w:w="0" w:type="dxa"/>
            </w:tcMar>
            <w:vAlign w:val="center"/>
          </w:tcPr>
          <w:p w14:paraId="50026322" w14:textId="77777777" w:rsidR="00E22566"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06A1ED64" w14:textId="77777777" w:rsidR="00E22566" w:rsidRDefault="00000000">
            <w:pPr>
              <w:keepNext/>
              <w:keepLines/>
              <w:spacing w:after="0" w:line="240" w:lineRule="auto"/>
            </w:pPr>
            <w:r>
              <w:rPr>
                <w:sz w:val="18"/>
              </w:rPr>
              <w:t>6711</w:t>
            </w:r>
          </w:p>
        </w:tc>
        <w:tc>
          <w:tcPr>
            <w:tcW w:w="1860" w:type="dxa"/>
            <w:tcMar>
              <w:top w:w="0" w:type="dxa"/>
              <w:bottom w:w="0" w:type="dxa"/>
            </w:tcMar>
            <w:vAlign w:val="center"/>
          </w:tcPr>
          <w:p w14:paraId="0D1CC73C" w14:textId="77777777" w:rsidR="00E22566" w:rsidRDefault="00000000">
            <w:pPr>
              <w:keepNext/>
              <w:keepLines/>
              <w:spacing w:after="0" w:line="240" w:lineRule="auto"/>
              <w:jc w:val="right"/>
            </w:pPr>
            <w:r>
              <w:rPr>
                <w:sz w:val="18"/>
              </w:rPr>
              <w:t>814.427,75</w:t>
            </w:r>
          </w:p>
        </w:tc>
        <w:tc>
          <w:tcPr>
            <w:tcW w:w="1860" w:type="dxa"/>
            <w:tcMar>
              <w:top w:w="0" w:type="dxa"/>
              <w:bottom w:w="0" w:type="dxa"/>
            </w:tcMar>
            <w:vAlign w:val="center"/>
          </w:tcPr>
          <w:p w14:paraId="2413FB3A" w14:textId="77777777" w:rsidR="00E22566" w:rsidRDefault="00000000">
            <w:pPr>
              <w:keepNext/>
              <w:keepLines/>
              <w:spacing w:after="0" w:line="240" w:lineRule="auto"/>
              <w:jc w:val="right"/>
            </w:pPr>
            <w:r>
              <w:rPr>
                <w:sz w:val="18"/>
              </w:rPr>
              <w:t>590.166,60</w:t>
            </w:r>
          </w:p>
        </w:tc>
        <w:tc>
          <w:tcPr>
            <w:tcW w:w="700" w:type="dxa"/>
            <w:tcMar>
              <w:top w:w="0" w:type="dxa"/>
              <w:bottom w:w="0" w:type="dxa"/>
            </w:tcMar>
            <w:vAlign w:val="center"/>
          </w:tcPr>
          <w:p w14:paraId="2D999CEA" w14:textId="77777777" w:rsidR="00E22566" w:rsidRDefault="00000000">
            <w:pPr>
              <w:keepNext/>
              <w:keepLines/>
              <w:spacing w:after="0" w:line="240" w:lineRule="auto"/>
              <w:jc w:val="right"/>
            </w:pPr>
            <w:r>
              <w:rPr>
                <w:sz w:val="18"/>
              </w:rPr>
              <w:t>72,5</w:t>
            </w:r>
          </w:p>
        </w:tc>
      </w:tr>
    </w:tbl>
    <w:p w14:paraId="2F2D7621" w14:textId="77777777" w:rsidR="00E22566" w:rsidRDefault="00E22566">
      <w:pPr>
        <w:spacing w:after="0"/>
      </w:pPr>
    </w:p>
    <w:p w14:paraId="7E19A6D4" w14:textId="77777777" w:rsidR="00E22566" w:rsidRDefault="00000000">
      <w:pPr>
        <w:jc w:val="both"/>
      </w:pPr>
      <w:r>
        <w:t xml:space="preserve">Konto 6711 Prihodi iz nadležnog proračuna za financiranje poslovanja manji su u odnosu na isto izvještajno razdoblje prethodne godine iz razloga jer je u istom izvještajnom razdoblju prethodne godine ostvaren dodatni prihod tj. Domu za starije i nemoćne osobe Požega je bila doznačena pomoć osnivača Požeško-slavonske županije za financiranje plaća zaposlenika, a </w:t>
      </w:r>
      <w:r>
        <w:lastRenderedPageBreak/>
        <w:t>koja u predmetnom izvještajnom razdoblju tj. u 2025. godini nije doznačena budući da Dom za starije i nemoćne osobe Požega ima dovoljno financijskih sredstava za pokriće dospjelih rashoda.</w:t>
      </w:r>
    </w:p>
    <w:p w14:paraId="392200DC" w14:textId="77777777" w:rsidR="00E22566" w:rsidRDefault="00E22566"/>
    <w:p w14:paraId="6887DCD9" w14:textId="77777777" w:rsidR="00E22566"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46A5F1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30645F"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876DCC"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8C0A6A"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788682"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CD08C2"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D5EB05" w14:textId="77777777" w:rsidR="00E22566" w:rsidRDefault="00000000">
            <w:pPr>
              <w:keepNext/>
              <w:keepLines/>
              <w:spacing w:after="0" w:line="240" w:lineRule="auto"/>
              <w:jc w:val="center"/>
            </w:pPr>
            <w:r>
              <w:rPr>
                <w:b/>
                <w:sz w:val="18"/>
              </w:rPr>
              <w:t>Indeks (%)</w:t>
            </w:r>
          </w:p>
        </w:tc>
      </w:tr>
      <w:tr w:rsidR="00E22566" w14:paraId="35C6A01C" w14:textId="77777777">
        <w:tblPrEx>
          <w:tblCellMar>
            <w:top w:w="0" w:type="dxa"/>
            <w:bottom w:w="0" w:type="dxa"/>
          </w:tblCellMar>
        </w:tblPrEx>
        <w:trPr>
          <w:cantSplit/>
          <w:trHeight w:val="560"/>
        </w:trPr>
        <w:tc>
          <w:tcPr>
            <w:tcW w:w="700" w:type="dxa"/>
            <w:tcMar>
              <w:top w:w="0" w:type="dxa"/>
              <w:bottom w:w="0" w:type="dxa"/>
            </w:tcMar>
            <w:vAlign w:val="center"/>
          </w:tcPr>
          <w:p w14:paraId="673E6257" w14:textId="77777777" w:rsidR="00E22566" w:rsidRDefault="00000000">
            <w:pPr>
              <w:keepNext/>
              <w:keepLines/>
              <w:spacing w:after="0" w:line="240" w:lineRule="auto"/>
            </w:pPr>
            <w:r>
              <w:rPr>
                <w:sz w:val="18"/>
              </w:rPr>
              <w:t>6712</w:t>
            </w:r>
          </w:p>
        </w:tc>
        <w:tc>
          <w:tcPr>
            <w:tcW w:w="3180" w:type="dxa"/>
            <w:tcMar>
              <w:top w:w="0" w:type="dxa"/>
              <w:bottom w:w="0" w:type="dxa"/>
            </w:tcMar>
            <w:vAlign w:val="center"/>
          </w:tcPr>
          <w:p w14:paraId="5F4F969E" w14:textId="77777777" w:rsidR="00E22566"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0B5224A3" w14:textId="77777777" w:rsidR="00E22566" w:rsidRDefault="00000000">
            <w:pPr>
              <w:keepNext/>
              <w:keepLines/>
              <w:spacing w:after="0" w:line="240" w:lineRule="auto"/>
            </w:pPr>
            <w:r>
              <w:rPr>
                <w:sz w:val="18"/>
              </w:rPr>
              <w:t>6712</w:t>
            </w:r>
          </w:p>
        </w:tc>
        <w:tc>
          <w:tcPr>
            <w:tcW w:w="1860" w:type="dxa"/>
            <w:tcMar>
              <w:top w:w="0" w:type="dxa"/>
              <w:bottom w:w="0" w:type="dxa"/>
            </w:tcMar>
            <w:vAlign w:val="center"/>
          </w:tcPr>
          <w:p w14:paraId="695430A4" w14:textId="77777777" w:rsidR="00E22566" w:rsidRDefault="00000000">
            <w:pPr>
              <w:keepNext/>
              <w:keepLines/>
              <w:spacing w:after="0" w:line="240" w:lineRule="auto"/>
              <w:jc w:val="right"/>
            </w:pPr>
            <w:r>
              <w:rPr>
                <w:sz w:val="18"/>
              </w:rPr>
              <w:t>21.119,13</w:t>
            </w:r>
          </w:p>
        </w:tc>
        <w:tc>
          <w:tcPr>
            <w:tcW w:w="1860" w:type="dxa"/>
            <w:tcMar>
              <w:top w:w="0" w:type="dxa"/>
              <w:bottom w:w="0" w:type="dxa"/>
            </w:tcMar>
            <w:vAlign w:val="center"/>
          </w:tcPr>
          <w:p w14:paraId="5DDB02F4" w14:textId="77777777" w:rsidR="00E22566" w:rsidRDefault="00000000">
            <w:pPr>
              <w:keepNext/>
              <w:keepLines/>
              <w:spacing w:after="0" w:line="240" w:lineRule="auto"/>
              <w:jc w:val="right"/>
            </w:pPr>
            <w:r>
              <w:rPr>
                <w:sz w:val="18"/>
              </w:rPr>
              <w:t>113.828,40</w:t>
            </w:r>
          </w:p>
        </w:tc>
        <w:tc>
          <w:tcPr>
            <w:tcW w:w="700" w:type="dxa"/>
            <w:tcMar>
              <w:top w:w="0" w:type="dxa"/>
              <w:bottom w:w="0" w:type="dxa"/>
            </w:tcMar>
            <w:vAlign w:val="center"/>
          </w:tcPr>
          <w:p w14:paraId="360D42C0" w14:textId="77777777" w:rsidR="00E22566" w:rsidRDefault="00000000">
            <w:pPr>
              <w:keepNext/>
              <w:keepLines/>
              <w:spacing w:after="0" w:line="240" w:lineRule="auto"/>
              <w:jc w:val="right"/>
            </w:pPr>
            <w:r>
              <w:rPr>
                <w:sz w:val="18"/>
              </w:rPr>
              <w:t>539,0</w:t>
            </w:r>
          </w:p>
        </w:tc>
      </w:tr>
    </w:tbl>
    <w:p w14:paraId="1FF91C47" w14:textId="77777777" w:rsidR="00E22566" w:rsidRDefault="00E22566">
      <w:pPr>
        <w:spacing w:after="0"/>
      </w:pPr>
    </w:p>
    <w:p w14:paraId="32BE9BEC" w14:textId="77777777" w:rsidR="00E22566" w:rsidRDefault="00000000">
      <w:pPr>
        <w:jc w:val="both"/>
      </w:pPr>
      <w:r>
        <w:t>Konto 6712 Prihodi iz nadležnog proračuna za financiranje rashoda za nabavu nefinancijske imovine iznose 113.828,40 EUR i znatno su veći u odnosu na isto izvještajno razdoblje prethodne godine iz razloga što je tijekom 2025. godine Dom za starije i nemoćne osobe Požega ostvarivao dovoljno vlastitih prihoda za financiranje redovnog poslovanja, te je veći iznos decentraliziranih sredstava mogao biti preraspodijeljen za nabavu nefinancijske imovine.</w:t>
      </w:r>
    </w:p>
    <w:p w14:paraId="55707530" w14:textId="77777777" w:rsidR="00E22566" w:rsidRDefault="00000000">
      <w:r>
        <w:t> </w:t>
      </w:r>
    </w:p>
    <w:p w14:paraId="564CA514" w14:textId="77777777" w:rsidR="00E22566" w:rsidRDefault="00E22566"/>
    <w:p w14:paraId="5565C6A8" w14:textId="77777777" w:rsidR="00E22566"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285704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83056E"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74241B"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99DCCD"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B878C4"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FDDE4D"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462DC8" w14:textId="77777777" w:rsidR="00E22566" w:rsidRDefault="00000000">
            <w:pPr>
              <w:keepNext/>
              <w:keepLines/>
              <w:spacing w:after="0" w:line="240" w:lineRule="auto"/>
              <w:jc w:val="center"/>
            </w:pPr>
            <w:r>
              <w:rPr>
                <w:b/>
                <w:sz w:val="18"/>
              </w:rPr>
              <w:t>Indeks (%)</w:t>
            </w:r>
          </w:p>
        </w:tc>
      </w:tr>
      <w:tr w:rsidR="00E22566" w14:paraId="36DD4F32" w14:textId="77777777">
        <w:tblPrEx>
          <w:tblCellMar>
            <w:top w:w="0" w:type="dxa"/>
            <w:bottom w:w="0" w:type="dxa"/>
          </w:tblCellMar>
        </w:tblPrEx>
        <w:trPr>
          <w:cantSplit/>
          <w:trHeight w:val="560"/>
        </w:trPr>
        <w:tc>
          <w:tcPr>
            <w:tcW w:w="700" w:type="dxa"/>
            <w:tcMar>
              <w:top w:w="0" w:type="dxa"/>
              <w:bottom w:w="0" w:type="dxa"/>
            </w:tcMar>
            <w:vAlign w:val="center"/>
          </w:tcPr>
          <w:p w14:paraId="2D475CB5" w14:textId="77777777" w:rsidR="00E22566" w:rsidRDefault="00000000">
            <w:pPr>
              <w:keepNext/>
              <w:keepLines/>
              <w:spacing w:after="0" w:line="240" w:lineRule="auto"/>
            </w:pPr>
            <w:r>
              <w:rPr>
                <w:sz w:val="18"/>
              </w:rPr>
              <w:t>31</w:t>
            </w:r>
          </w:p>
        </w:tc>
        <w:tc>
          <w:tcPr>
            <w:tcW w:w="3180" w:type="dxa"/>
            <w:tcMar>
              <w:top w:w="0" w:type="dxa"/>
              <w:bottom w:w="0" w:type="dxa"/>
            </w:tcMar>
            <w:vAlign w:val="center"/>
          </w:tcPr>
          <w:p w14:paraId="25BC4DFE" w14:textId="77777777" w:rsidR="00E22566"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4408D2A1" w14:textId="77777777" w:rsidR="00E22566" w:rsidRDefault="00000000">
            <w:pPr>
              <w:keepNext/>
              <w:keepLines/>
              <w:spacing w:after="0" w:line="240" w:lineRule="auto"/>
            </w:pPr>
            <w:r>
              <w:rPr>
                <w:sz w:val="18"/>
              </w:rPr>
              <w:t>31</w:t>
            </w:r>
          </w:p>
        </w:tc>
        <w:tc>
          <w:tcPr>
            <w:tcW w:w="1860" w:type="dxa"/>
            <w:tcMar>
              <w:top w:w="0" w:type="dxa"/>
              <w:bottom w:w="0" w:type="dxa"/>
            </w:tcMar>
            <w:vAlign w:val="center"/>
          </w:tcPr>
          <w:p w14:paraId="21853DA9" w14:textId="77777777" w:rsidR="00E22566" w:rsidRDefault="00000000">
            <w:pPr>
              <w:keepNext/>
              <w:keepLines/>
              <w:spacing w:after="0" w:line="240" w:lineRule="auto"/>
              <w:jc w:val="right"/>
            </w:pPr>
            <w:r>
              <w:rPr>
                <w:sz w:val="18"/>
              </w:rPr>
              <w:t>1.552.833,38</w:t>
            </w:r>
          </w:p>
        </w:tc>
        <w:tc>
          <w:tcPr>
            <w:tcW w:w="1860" w:type="dxa"/>
            <w:tcMar>
              <w:top w:w="0" w:type="dxa"/>
              <w:bottom w:w="0" w:type="dxa"/>
            </w:tcMar>
            <w:vAlign w:val="center"/>
          </w:tcPr>
          <w:p w14:paraId="0F9B47B3" w14:textId="77777777" w:rsidR="00E22566" w:rsidRDefault="00000000">
            <w:pPr>
              <w:keepNext/>
              <w:keepLines/>
              <w:spacing w:after="0" w:line="240" w:lineRule="auto"/>
              <w:jc w:val="right"/>
            </w:pPr>
            <w:r>
              <w:rPr>
                <w:sz w:val="18"/>
              </w:rPr>
              <w:t>1.680.671,51</w:t>
            </w:r>
          </w:p>
        </w:tc>
        <w:tc>
          <w:tcPr>
            <w:tcW w:w="700" w:type="dxa"/>
            <w:tcMar>
              <w:top w:w="0" w:type="dxa"/>
              <w:bottom w:w="0" w:type="dxa"/>
            </w:tcMar>
            <w:vAlign w:val="center"/>
          </w:tcPr>
          <w:p w14:paraId="531A668F" w14:textId="77777777" w:rsidR="00E22566" w:rsidRDefault="00000000">
            <w:pPr>
              <w:keepNext/>
              <w:keepLines/>
              <w:spacing w:after="0" w:line="240" w:lineRule="auto"/>
              <w:jc w:val="right"/>
            </w:pPr>
            <w:r>
              <w:rPr>
                <w:sz w:val="18"/>
              </w:rPr>
              <w:t>108,2</w:t>
            </w:r>
          </w:p>
        </w:tc>
      </w:tr>
    </w:tbl>
    <w:p w14:paraId="6334036F" w14:textId="77777777" w:rsidR="00E22566" w:rsidRDefault="00E22566">
      <w:pPr>
        <w:spacing w:after="0"/>
      </w:pPr>
    </w:p>
    <w:p w14:paraId="5D74A418" w14:textId="77777777" w:rsidR="00E22566" w:rsidRDefault="00000000">
      <w:pPr>
        <w:jc w:val="both"/>
      </w:pPr>
      <w:r>
        <w:t>Račun 31 Rashodi za zaposlene su za 8,2% veći u odnosu na isto izvještajno razdoblje prethodne godine što je posljedica donošenja i početka primjene Zakona o plaćama u državnoj i javnim službama (NN 155/23) i Uredbe o nazivima radnih mjesta, uvjetima za raspored i koeficijentima za obračun plaće u javnim službama (NN 22/24) kojom su povećani koeficijenti za obračun plaće, a čija je primjena započela počevši od plaće za mjesec ožujak 2024. godine, te zbog povećanja osnovice za obračun plaće u 2025. godini sa 947,18 EUR na 975,60 EUR te na 1.004,87 EUR. Temeljem programa Mjera aktivne politika zapošljavanja iz nadležnosti Hrvatskog zavoda za zapošljavanje, zaposlene su dvije radnice u javnom radu, JAVNI RAD POSAO+, što je također povećavalo rashode za zaposlene.</w:t>
      </w:r>
    </w:p>
    <w:p w14:paraId="5EC826B3" w14:textId="77777777" w:rsidR="00E22566" w:rsidRDefault="00000000">
      <w:pPr>
        <w:jc w:val="both"/>
      </w:pPr>
      <w:r>
        <w:t> </w:t>
      </w:r>
    </w:p>
    <w:p w14:paraId="3F819624" w14:textId="77777777" w:rsidR="00E22566" w:rsidRDefault="00E22566"/>
    <w:p w14:paraId="6969B93E" w14:textId="77777777" w:rsidR="00E22566"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5B6918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F47B62"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2E1BBF"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EB2A42"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C0DE7A"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23A026"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C3A3A1" w14:textId="77777777" w:rsidR="00E22566" w:rsidRDefault="00000000">
            <w:pPr>
              <w:keepNext/>
              <w:keepLines/>
              <w:spacing w:after="0" w:line="240" w:lineRule="auto"/>
              <w:jc w:val="center"/>
            </w:pPr>
            <w:r>
              <w:rPr>
                <w:b/>
                <w:sz w:val="18"/>
              </w:rPr>
              <w:t>Indeks (%)</w:t>
            </w:r>
          </w:p>
        </w:tc>
      </w:tr>
      <w:tr w:rsidR="00E22566" w14:paraId="1575E2D4" w14:textId="77777777">
        <w:tblPrEx>
          <w:tblCellMar>
            <w:top w:w="0" w:type="dxa"/>
            <w:bottom w:w="0" w:type="dxa"/>
          </w:tblCellMar>
        </w:tblPrEx>
        <w:trPr>
          <w:cantSplit/>
          <w:trHeight w:val="560"/>
        </w:trPr>
        <w:tc>
          <w:tcPr>
            <w:tcW w:w="700" w:type="dxa"/>
            <w:tcMar>
              <w:top w:w="0" w:type="dxa"/>
              <w:bottom w:w="0" w:type="dxa"/>
            </w:tcMar>
            <w:vAlign w:val="center"/>
          </w:tcPr>
          <w:p w14:paraId="69DBE01F" w14:textId="77777777" w:rsidR="00E22566" w:rsidRDefault="00000000">
            <w:pPr>
              <w:keepNext/>
              <w:keepLines/>
              <w:spacing w:after="0" w:line="240" w:lineRule="auto"/>
            </w:pPr>
            <w:r>
              <w:rPr>
                <w:sz w:val="18"/>
              </w:rPr>
              <w:t>32</w:t>
            </w:r>
          </w:p>
        </w:tc>
        <w:tc>
          <w:tcPr>
            <w:tcW w:w="3180" w:type="dxa"/>
            <w:tcMar>
              <w:top w:w="0" w:type="dxa"/>
              <w:bottom w:w="0" w:type="dxa"/>
            </w:tcMar>
            <w:vAlign w:val="center"/>
          </w:tcPr>
          <w:p w14:paraId="3331F821" w14:textId="77777777" w:rsidR="00E22566"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1F08CEED" w14:textId="77777777" w:rsidR="00E22566" w:rsidRDefault="00000000">
            <w:pPr>
              <w:keepNext/>
              <w:keepLines/>
              <w:spacing w:after="0" w:line="240" w:lineRule="auto"/>
            </w:pPr>
            <w:r>
              <w:rPr>
                <w:sz w:val="18"/>
              </w:rPr>
              <w:t>32</w:t>
            </w:r>
          </w:p>
        </w:tc>
        <w:tc>
          <w:tcPr>
            <w:tcW w:w="1860" w:type="dxa"/>
            <w:tcMar>
              <w:top w:w="0" w:type="dxa"/>
              <w:bottom w:w="0" w:type="dxa"/>
            </w:tcMar>
            <w:vAlign w:val="center"/>
          </w:tcPr>
          <w:p w14:paraId="2FF711C5" w14:textId="77777777" w:rsidR="00E22566" w:rsidRDefault="00000000">
            <w:pPr>
              <w:keepNext/>
              <w:keepLines/>
              <w:spacing w:after="0" w:line="240" w:lineRule="auto"/>
              <w:jc w:val="right"/>
            </w:pPr>
            <w:r>
              <w:rPr>
                <w:sz w:val="18"/>
              </w:rPr>
              <w:t>490.257,91</w:t>
            </w:r>
          </w:p>
        </w:tc>
        <w:tc>
          <w:tcPr>
            <w:tcW w:w="1860" w:type="dxa"/>
            <w:tcMar>
              <w:top w:w="0" w:type="dxa"/>
              <w:bottom w:w="0" w:type="dxa"/>
            </w:tcMar>
            <w:vAlign w:val="center"/>
          </w:tcPr>
          <w:p w14:paraId="34718AD5" w14:textId="77777777" w:rsidR="00E22566" w:rsidRDefault="00000000">
            <w:pPr>
              <w:keepNext/>
              <w:keepLines/>
              <w:spacing w:after="0" w:line="240" w:lineRule="auto"/>
              <w:jc w:val="right"/>
            </w:pPr>
            <w:r>
              <w:rPr>
                <w:sz w:val="18"/>
              </w:rPr>
              <w:t>535.724,34</w:t>
            </w:r>
          </w:p>
        </w:tc>
        <w:tc>
          <w:tcPr>
            <w:tcW w:w="700" w:type="dxa"/>
            <w:tcMar>
              <w:top w:w="0" w:type="dxa"/>
              <w:bottom w:w="0" w:type="dxa"/>
            </w:tcMar>
            <w:vAlign w:val="center"/>
          </w:tcPr>
          <w:p w14:paraId="02E7E62C" w14:textId="77777777" w:rsidR="00E22566" w:rsidRDefault="00000000">
            <w:pPr>
              <w:keepNext/>
              <w:keepLines/>
              <w:spacing w:after="0" w:line="240" w:lineRule="auto"/>
              <w:jc w:val="right"/>
            </w:pPr>
            <w:r>
              <w:rPr>
                <w:sz w:val="18"/>
              </w:rPr>
              <w:t>109,3</w:t>
            </w:r>
          </w:p>
        </w:tc>
      </w:tr>
    </w:tbl>
    <w:p w14:paraId="668BA560" w14:textId="77777777" w:rsidR="00E22566" w:rsidRDefault="00E22566">
      <w:pPr>
        <w:spacing w:after="0"/>
      </w:pPr>
    </w:p>
    <w:p w14:paraId="165433DC" w14:textId="77777777" w:rsidR="00E22566" w:rsidRDefault="00000000">
      <w:pPr>
        <w:jc w:val="both"/>
      </w:pPr>
      <w:r>
        <w:t>Konto 32 Materijalni rashodi su za 9,3% veći u odnosu na isto izvještajno razdoblje prethodne godine iz razloga što je u predmetnom izvještajnom razdoblju došlo do značajnog povećanja troškova usluga (usluga za tekuće i investicijsko održavanje, usluga promidžbe i informiranja itd.), nabave potrebnog sitnog inventara,  materijala i dijelova za tekuće i investicijsko održavanje itd.</w:t>
      </w:r>
    </w:p>
    <w:p w14:paraId="37564C8C" w14:textId="77777777" w:rsidR="00E22566" w:rsidRDefault="00000000">
      <w:r>
        <w:t> </w:t>
      </w:r>
    </w:p>
    <w:p w14:paraId="04C37799" w14:textId="77777777" w:rsidR="00E22566" w:rsidRDefault="00E22566"/>
    <w:p w14:paraId="59CFC8CD" w14:textId="77777777" w:rsidR="00E22566"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70A942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573E5C"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0019C1"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E8BBC8"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78CA1C"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EE87EF"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E1CE05" w14:textId="77777777" w:rsidR="00E22566" w:rsidRDefault="00000000">
            <w:pPr>
              <w:keepNext/>
              <w:keepLines/>
              <w:spacing w:after="0" w:line="240" w:lineRule="auto"/>
              <w:jc w:val="center"/>
            </w:pPr>
            <w:r>
              <w:rPr>
                <w:b/>
                <w:sz w:val="18"/>
              </w:rPr>
              <w:t>Indeks (%)</w:t>
            </w:r>
          </w:p>
        </w:tc>
      </w:tr>
      <w:tr w:rsidR="00E22566" w14:paraId="151BB673" w14:textId="77777777">
        <w:tblPrEx>
          <w:tblCellMar>
            <w:top w:w="0" w:type="dxa"/>
            <w:bottom w:w="0" w:type="dxa"/>
          </w:tblCellMar>
        </w:tblPrEx>
        <w:trPr>
          <w:cantSplit/>
          <w:trHeight w:val="560"/>
        </w:trPr>
        <w:tc>
          <w:tcPr>
            <w:tcW w:w="700" w:type="dxa"/>
            <w:tcMar>
              <w:top w:w="0" w:type="dxa"/>
              <w:bottom w:w="0" w:type="dxa"/>
            </w:tcMar>
            <w:vAlign w:val="center"/>
          </w:tcPr>
          <w:p w14:paraId="28651FD1" w14:textId="77777777" w:rsidR="00E22566" w:rsidRDefault="00000000">
            <w:pPr>
              <w:keepNext/>
              <w:keepLines/>
              <w:spacing w:after="0" w:line="240" w:lineRule="auto"/>
            </w:pPr>
            <w:r>
              <w:rPr>
                <w:sz w:val="18"/>
              </w:rPr>
              <w:t>3223</w:t>
            </w:r>
          </w:p>
        </w:tc>
        <w:tc>
          <w:tcPr>
            <w:tcW w:w="3180" w:type="dxa"/>
            <w:tcMar>
              <w:top w:w="0" w:type="dxa"/>
              <w:bottom w:w="0" w:type="dxa"/>
            </w:tcMar>
            <w:vAlign w:val="center"/>
          </w:tcPr>
          <w:p w14:paraId="4A8269F8" w14:textId="77777777" w:rsidR="00E22566" w:rsidRDefault="00000000">
            <w:pPr>
              <w:keepNext/>
              <w:keepLines/>
              <w:spacing w:after="0" w:line="240" w:lineRule="auto"/>
            </w:pPr>
            <w:r>
              <w:rPr>
                <w:sz w:val="18"/>
              </w:rPr>
              <w:t>Energija</w:t>
            </w:r>
          </w:p>
        </w:tc>
        <w:tc>
          <w:tcPr>
            <w:tcW w:w="700" w:type="dxa"/>
            <w:tcMar>
              <w:top w:w="0" w:type="dxa"/>
              <w:bottom w:w="0" w:type="dxa"/>
            </w:tcMar>
            <w:vAlign w:val="center"/>
          </w:tcPr>
          <w:p w14:paraId="08282F28" w14:textId="77777777" w:rsidR="00E22566" w:rsidRDefault="00000000">
            <w:pPr>
              <w:keepNext/>
              <w:keepLines/>
              <w:spacing w:after="0" w:line="240" w:lineRule="auto"/>
            </w:pPr>
            <w:r>
              <w:rPr>
                <w:sz w:val="18"/>
              </w:rPr>
              <w:t>3223</w:t>
            </w:r>
          </w:p>
        </w:tc>
        <w:tc>
          <w:tcPr>
            <w:tcW w:w="1860" w:type="dxa"/>
            <w:tcMar>
              <w:top w:w="0" w:type="dxa"/>
              <w:bottom w:w="0" w:type="dxa"/>
            </w:tcMar>
            <w:vAlign w:val="center"/>
          </w:tcPr>
          <w:p w14:paraId="08A5BFC4" w14:textId="77777777" w:rsidR="00E22566" w:rsidRDefault="00000000">
            <w:pPr>
              <w:keepNext/>
              <w:keepLines/>
              <w:spacing w:after="0" w:line="240" w:lineRule="auto"/>
              <w:jc w:val="right"/>
            </w:pPr>
            <w:r>
              <w:rPr>
                <w:sz w:val="18"/>
              </w:rPr>
              <w:t>106.054,71</w:t>
            </w:r>
          </w:p>
        </w:tc>
        <w:tc>
          <w:tcPr>
            <w:tcW w:w="1860" w:type="dxa"/>
            <w:tcMar>
              <w:top w:w="0" w:type="dxa"/>
              <w:bottom w:w="0" w:type="dxa"/>
            </w:tcMar>
            <w:vAlign w:val="center"/>
          </w:tcPr>
          <w:p w14:paraId="59BA7873" w14:textId="77777777" w:rsidR="00E22566" w:rsidRDefault="00000000">
            <w:pPr>
              <w:keepNext/>
              <w:keepLines/>
              <w:spacing w:after="0" w:line="240" w:lineRule="auto"/>
              <w:jc w:val="right"/>
            </w:pPr>
            <w:r>
              <w:rPr>
                <w:sz w:val="18"/>
              </w:rPr>
              <w:t>117.125,02</w:t>
            </w:r>
          </w:p>
        </w:tc>
        <w:tc>
          <w:tcPr>
            <w:tcW w:w="700" w:type="dxa"/>
            <w:tcMar>
              <w:top w:w="0" w:type="dxa"/>
              <w:bottom w:w="0" w:type="dxa"/>
            </w:tcMar>
            <w:vAlign w:val="center"/>
          </w:tcPr>
          <w:p w14:paraId="61ABC119" w14:textId="77777777" w:rsidR="00E22566" w:rsidRDefault="00000000">
            <w:pPr>
              <w:keepNext/>
              <w:keepLines/>
              <w:spacing w:after="0" w:line="240" w:lineRule="auto"/>
              <w:jc w:val="right"/>
            </w:pPr>
            <w:r>
              <w:rPr>
                <w:sz w:val="18"/>
              </w:rPr>
              <w:t>110,4</w:t>
            </w:r>
          </w:p>
        </w:tc>
      </w:tr>
    </w:tbl>
    <w:p w14:paraId="63330F80" w14:textId="77777777" w:rsidR="00E22566" w:rsidRDefault="00E22566">
      <w:pPr>
        <w:spacing w:after="0"/>
      </w:pPr>
    </w:p>
    <w:p w14:paraId="38E68468" w14:textId="77777777" w:rsidR="00E22566" w:rsidRDefault="00000000">
      <w:pPr>
        <w:jc w:val="both"/>
      </w:pPr>
      <w:r>
        <w:t>Konto 3223 Energija je veći za 10,4% u odnosu na isto izvještajno razdoblje prethodne godine, a zbog promjene (povećanja) cijena električne energije i plina u odnosu na isto izvještajno razdoblje prethodne godine.</w:t>
      </w:r>
    </w:p>
    <w:p w14:paraId="7E725AA0" w14:textId="77777777" w:rsidR="00E22566" w:rsidRDefault="00E22566"/>
    <w:p w14:paraId="040BABF5" w14:textId="77777777" w:rsidR="00E22566"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65EE5B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D084FC"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8A8D1E"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547C02"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2636D7"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128EFA"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03E17E" w14:textId="77777777" w:rsidR="00E22566" w:rsidRDefault="00000000">
            <w:pPr>
              <w:keepNext/>
              <w:keepLines/>
              <w:spacing w:after="0" w:line="240" w:lineRule="auto"/>
              <w:jc w:val="center"/>
            </w:pPr>
            <w:r>
              <w:rPr>
                <w:b/>
                <w:sz w:val="18"/>
              </w:rPr>
              <w:t>Indeks (%)</w:t>
            </w:r>
          </w:p>
        </w:tc>
      </w:tr>
      <w:tr w:rsidR="00E22566" w14:paraId="34B39275" w14:textId="77777777">
        <w:tblPrEx>
          <w:tblCellMar>
            <w:top w:w="0" w:type="dxa"/>
            <w:bottom w:w="0" w:type="dxa"/>
          </w:tblCellMar>
        </w:tblPrEx>
        <w:trPr>
          <w:cantSplit/>
          <w:trHeight w:val="560"/>
        </w:trPr>
        <w:tc>
          <w:tcPr>
            <w:tcW w:w="700" w:type="dxa"/>
            <w:tcMar>
              <w:top w:w="0" w:type="dxa"/>
              <w:bottom w:w="0" w:type="dxa"/>
            </w:tcMar>
            <w:vAlign w:val="center"/>
          </w:tcPr>
          <w:p w14:paraId="044BE21D" w14:textId="77777777" w:rsidR="00E22566" w:rsidRDefault="00000000">
            <w:pPr>
              <w:keepNext/>
              <w:keepLines/>
              <w:spacing w:after="0" w:line="240" w:lineRule="auto"/>
            </w:pPr>
            <w:r>
              <w:rPr>
                <w:sz w:val="18"/>
              </w:rPr>
              <w:t>3224</w:t>
            </w:r>
          </w:p>
        </w:tc>
        <w:tc>
          <w:tcPr>
            <w:tcW w:w="3180" w:type="dxa"/>
            <w:tcMar>
              <w:top w:w="0" w:type="dxa"/>
              <w:bottom w:w="0" w:type="dxa"/>
            </w:tcMar>
            <w:vAlign w:val="center"/>
          </w:tcPr>
          <w:p w14:paraId="6E2E26E8" w14:textId="77777777" w:rsidR="00E22566"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7B979135" w14:textId="77777777" w:rsidR="00E22566" w:rsidRDefault="00000000">
            <w:pPr>
              <w:keepNext/>
              <w:keepLines/>
              <w:spacing w:after="0" w:line="240" w:lineRule="auto"/>
            </w:pPr>
            <w:r>
              <w:rPr>
                <w:sz w:val="18"/>
              </w:rPr>
              <w:t>3224</w:t>
            </w:r>
          </w:p>
        </w:tc>
        <w:tc>
          <w:tcPr>
            <w:tcW w:w="1860" w:type="dxa"/>
            <w:tcMar>
              <w:top w:w="0" w:type="dxa"/>
              <w:bottom w:w="0" w:type="dxa"/>
            </w:tcMar>
            <w:vAlign w:val="center"/>
          </w:tcPr>
          <w:p w14:paraId="00AA9312" w14:textId="77777777" w:rsidR="00E22566" w:rsidRDefault="00000000">
            <w:pPr>
              <w:keepNext/>
              <w:keepLines/>
              <w:spacing w:after="0" w:line="240" w:lineRule="auto"/>
              <w:jc w:val="right"/>
            </w:pPr>
            <w:r>
              <w:rPr>
                <w:sz w:val="18"/>
              </w:rPr>
              <w:t>2.314,55</w:t>
            </w:r>
          </w:p>
        </w:tc>
        <w:tc>
          <w:tcPr>
            <w:tcW w:w="1860" w:type="dxa"/>
            <w:tcMar>
              <w:top w:w="0" w:type="dxa"/>
              <w:bottom w:w="0" w:type="dxa"/>
            </w:tcMar>
            <w:vAlign w:val="center"/>
          </w:tcPr>
          <w:p w14:paraId="2AD8D3E9" w14:textId="77777777" w:rsidR="00E22566" w:rsidRDefault="00000000">
            <w:pPr>
              <w:keepNext/>
              <w:keepLines/>
              <w:spacing w:after="0" w:line="240" w:lineRule="auto"/>
              <w:jc w:val="right"/>
            </w:pPr>
            <w:r>
              <w:rPr>
                <w:sz w:val="18"/>
              </w:rPr>
              <w:t>5.207,11</w:t>
            </w:r>
          </w:p>
        </w:tc>
        <w:tc>
          <w:tcPr>
            <w:tcW w:w="700" w:type="dxa"/>
            <w:tcMar>
              <w:top w:w="0" w:type="dxa"/>
              <w:bottom w:w="0" w:type="dxa"/>
            </w:tcMar>
            <w:vAlign w:val="center"/>
          </w:tcPr>
          <w:p w14:paraId="5B46583A" w14:textId="77777777" w:rsidR="00E22566" w:rsidRDefault="00000000">
            <w:pPr>
              <w:keepNext/>
              <w:keepLines/>
              <w:spacing w:after="0" w:line="240" w:lineRule="auto"/>
              <w:jc w:val="right"/>
            </w:pPr>
            <w:r>
              <w:rPr>
                <w:sz w:val="18"/>
              </w:rPr>
              <w:t>225,0</w:t>
            </w:r>
          </w:p>
        </w:tc>
      </w:tr>
    </w:tbl>
    <w:p w14:paraId="68066B84" w14:textId="77777777" w:rsidR="00E22566" w:rsidRDefault="00E22566">
      <w:pPr>
        <w:spacing w:after="0"/>
      </w:pPr>
    </w:p>
    <w:p w14:paraId="59579F10" w14:textId="77777777" w:rsidR="00E22566" w:rsidRDefault="00000000">
      <w:pPr>
        <w:jc w:val="both"/>
      </w:pPr>
      <w:r>
        <w:t>Konto 3224 Materijal i dijelovi za tekuće i investicijsko održavanje je znatno povećan u odnosu na isto izvještajno razdoblje prethodne godine iz razloga što je u predmetnom izvještajnom razdoblju bilo mnogo popravaka opreme i građevinskog objekta za koje je bio potreban materijal.</w:t>
      </w:r>
    </w:p>
    <w:p w14:paraId="117E092C" w14:textId="77777777" w:rsidR="00E22566" w:rsidRDefault="00E22566"/>
    <w:p w14:paraId="2B32A717" w14:textId="77777777" w:rsidR="00E22566"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2D286F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40E97B"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4A0281"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4EDB24"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39CA78"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1947FF"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EBB26A" w14:textId="77777777" w:rsidR="00E22566" w:rsidRDefault="00000000">
            <w:pPr>
              <w:keepNext/>
              <w:keepLines/>
              <w:spacing w:after="0" w:line="240" w:lineRule="auto"/>
              <w:jc w:val="center"/>
            </w:pPr>
            <w:r>
              <w:rPr>
                <w:b/>
                <w:sz w:val="18"/>
              </w:rPr>
              <w:t>Indeks (%)</w:t>
            </w:r>
          </w:p>
        </w:tc>
      </w:tr>
      <w:tr w:rsidR="00E22566" w14:paraId="21AF8D30" w14:textId="77777777">
        <w:tblPrEx>
          <w:tblCellMar>
            <w:top w:w="0" w:type="dxa"/>
            <w:bottom w:w="0" w:type="dxa"/>
          </w:tblCellMar>
        </w:tblPrEx>
        <w:trPr>
          <w:cantSplit/>
          <w:trHeight w:val="560"/>
        </w:trPr>
        <w:tc>
          <w:tcPr>
            <w:tcW w:w="700" w:type="dxa"/>
            <w:tcMar>
              <w:top w:w="0" w:type="dxa"/>
              <w:bottom w:w="0" w:type="dxa"/>
            </w:tcMar>
            <w:vAlign w:val="center"/>
          </w:tcPr>
          <w:p w14:paraId="03584595" w14:textId="77777777" w:rsidR="00E22566" w:rsidRDefault="00000000">
            <w:pPr>
              <w:keepNext/>
              <w:keepLines/>
              <w:spacing w:after="0" w:line="240" w:lineRule="auto"/>
            </w:pPr>
            <w:r>
              <w:rPr>
                <w:sz w:val="18"/>
              </w:rPr>
              <w:t>3225</w:t>
            </w:r>
          </w:p>
        </w:tc>
        <w:tc>
          <w:tcPr>
            <w:tcW w:w="3180" w:type="dxa"/>
            <w:tcMar>
              <w:top w:w="0" w:type="dxa"/>
              <w:bottom w:w="0" w:type="dxa"/>
            </w:tcMar>
            <w:vAlign w:val="center"/>
          </w:tcPr>
          <w:p w14:paraId="6C7225DD" w14:textId="77777777" w:rsidR="00E22566" w:rsidRDefault="00000000">
            <w:pPr>
              <w:keepNext/>
              <w:keepLines/>
              <w:spacing w:after="0" w:line="240" w:lineRule="auto"/>
            </w:pPr>
            <w:r>
              <w:rPr>
                <w:sz w:val="18"/>
              </w:rPr>
              <w:t>Sitni inventar i autogume</w:t>
            </w:r>
          </w:p>
        </w:tc>
        <w:tc>
          <w:tcPr>
            <w:tcW w:w="700" w:type="dxa"/>
            <w:tcMar>
              <w:top w:w="0" w:type="dxa"/>
              <w:bottom w:w="0" w:type="dxa"/>
            </w:tcMar>
            <w:vAlign w:val="center"/>
          </w:tcPr>
          <w:p w14:paraId="72238D16" w14:textId="77777777" w:rsidR="00E22566" w:rsidRDefault="00000000">
            <w:pPr>
              <w:keepNext/>
              <w:keepLines/>
              <w:spacing w:after="0" w:line="240" w:lineRule="auto"/>
            </w:pPr>
            <w:r>
              <w:rPr>
                <w:sz w:val="18"/>
              </w:rPr>
              <w:t>3225</w:t>
            </w:r>
          </w:p>
        </w:tc>
        <w:tc>
          <w:tcPr>
            <w:tcW w:w="1860" w:type="dxa"/>
            <w:tcMar>
              <w:top w:w="0" w:type="dxa"/>
              <w:bottom w:w="0" w:type="dxa"/>
            </w:tcMar>
            <w:vAlign w:val="center"/>
          </w:tcPr>
          <w:p w14:paraId="58E8844B" w14:textId="77777777" w:rsidR="00E22566" w:rsidRDefault="00000000">
            <w:pPr>
              <w:keepNext/>
              <w:keepLines/>
              <w:spacing w:after="0" w:line="240" w:lineRule="auto"/>
              <w:jc w:val="right"/>
            </w:pPr>
            <w:r>
              <w:rPr>
                <w:sz w:val="18"/>
              </w:rPr>
              <w:t>3.785,40</w:t>
            </w:r>
          </w:p>
        </w:tc>
        <w:tc>
          <w:tcPr>
            <w:tcW w:w="1860" w:type="dxa"/>
            <w:tcMar>
              <w:top w:w="0" w:type="dxa"/>
              <w:bottom w:w="0" w:type="dxa"/>
            </w:tcMar>
            <w:vAlign w:val="center"/>
          </w:tcPr>
          <w:p w14:paraId="6B282276" w14:textId="77777777" w:rsidR="00E22566" w:rsidRDefault="00000000">
            <w:pPr>
              <w:keepNext/>
              <w:keepLines/>
              <w:spacing w:after="0" w:line="240" w:lineRule="auto"/>
              <w:jc w:val="right"/>
            </w:pPr>
            <w:r>
              <w:rPr>
                <w:sz w:val="18"/>
              </w:rPr>
              <w:t>9.555,01</w:t>
            </w:r>
          </w:p>
        </w:tc>
        <w:tc>
          <w:tcPr>
            <w:tcW w:w="700" w:type="dxa"/>
            <w:tcMar>
              <w:top w:w="0" w:type="dxa"/>
              <w:bottom w:w="0" w:type="dxa"/>
            </w:tcMar>
            <w:vAlign w:val="center"/>
          </w:tcPr>
          <w:p w14:paraId="7DBEF450" w14:textId="77777777" w:rsidR="00E22566" w:rsidRDefault="00000000">
            <w:pPr>
              <w:keepNext/>
              <w:keepLines/>
              <w:spacing w:after="0" w:line="240" w:lineRule="auto"/>
              <w:jc w:val="right"/>
            </w:pPr>
            <w:r>
              <w:rPr>
                <w:sz w:val="18"/>
              </w:rPr>
              <w:t>252,4</w:t>
            </w:r>
          </w:p>
        </w:tc>
      </w:tr>
    </w:tbl>
    <w:p w14:paraId="66C8221B" w14:textId="77777777" w:rsidR="00E22566" w:rsidRDefault="00E22566">
      <w:pPr>
        <w:spacing w:after="0"/>
      </w:pPr>
    </w:p>
    <w:p w14:paraId="26D16470" w14:textId="77777777" w:rsidR="00E22566" w:rsidRDefault="00000000">
      <w:pPr>
        <w:jc w:val="both"/>
      </w:pPr>
      <w:r>
        <w:t>Konto 3225 Sitni inventar i auto gume značajno je veći u odnosu na isto izvještajno razdoblje prethodne godine iz razloga što se u predmetnom izvještajnom razdoblju nabavljao sitan inventar neophodan za rad, a koji u se u istom izvještajnom razdoblju prethodne godine radi mjera štednje nije mogao nabavljati, a radi pokrića povećanih rashoda za zaposlene.</w:t>
      </w:r>
    </w:p>
    <w:p w14:paraId="4A06F57A" w14:textId="77777777" w:rsidR="00E22566" w:rsidRDefault="00E22566"/>
    <w:p w14:paraId="08042C87" w14:textId="77777777" w:rsidR="00E22566"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154826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2CFD67"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022167"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C81CBF"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03AB4B"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CF4943"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3A9A8E" w14:textId="77777777" w:rsidR="00E22566" w:rsidRDefault="00000000">
            <w:pPr>
              <w:keepNext/>
              <w:keepLines/>
              <w:spacing w:after="0" w:line="240" w:lineRule="auto"/>
              <w:jc w:val="center"/>
            </w:pPr>
            <w:r>
              <w:rPr>
                <w:b/>
                <w:sz w:val="18"/>
              </w:rPr>
              <w:t>Indeks (%)</w:t>
            </w:r>
          </w:p>
        </w:tc>
      </w:tr>
      <w:tr w:rsidR="00E22566" w14:paraId="540D0ADC" w14:textId="77777777">
        <w:tblPrEx>
          <w:tblCellMar>
            <w:top w:w="0" w:type="dxa"/>
            <w:bottom w:w="0" w:type="dxa"/>
          </w:tblCellMar>
        </w:tblPrEx>
        <w:trPr>
          <w:cantSplit/>
          <w:trHeight w:val="560"/>
        </w:trPr>
        <w:tc>
          <w:tcPr>
            <w:tcW w:w="700" w:type="dxa"/>
            <w:tcMar>
              <w:top w:w="0" w:type="dxa"/>
              <w:bottom w:w="0" w:type="dxa"/>
            </w:tcMar>
            <w:vAlign w:val="center"/>
          </w:tcPr>
          <w:p w14:paraId="0BF26DAF" w14:textId="77777777" w:rsidR="00E22566" w:rsidRDefault="00000000">
            <w:pPr>
              <w:keepNext/>
              <w:keepLines/>
              <w:spacing w:after="0" w:line="240" w:lineRule="auto"/>
            </w:pPr>
            <w:r>
              <w:rPr>
                <w:sz w:val="18"/>
              </w:rPr>
              <w:t>323</w:t>
            </w:r>
          </w:p>
        </w:tc>
        <w:tc>
          <w:tcPr>
            <w:tcW w:w="3180" w:type="dxa"/>
            <w:tcMar>
              <w:top w:w="0" w:type="dxa"/>
              <w:bottom w:w="0" w:type="dxa"/>
            </w:tcMar>
            <w:vAlign w:val="center"/>
          </w:tcPr>
          <w:p w14:paraId="6E6682E7" w14:textId="77777777" w:rsidR="00E22566"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6DB8B7D3" w14:textId="77777777" w:rsidR="00E22566" w:rsidRDefault="00000000">
            <w:pPr>
              <w:keepNext/>
              <w:keepLines/>
              <w:spacing w:after="0" w:line="240" w:lineRule="auto"/>
            </w:pPr>
            <w:r>
              <w:rPr>
                <w:sz w:val="18"/>
              </w:rPr>
              <w:t>323</w:t>
            </w:r>
          </w:p>
        </w:tc>
        <w:tc>
          <w:tcPr>
            <w:tcW w:w="1860" w:type="dxa"/>
            <w:tcMar>
              <w:top w:w="0" w:type="dxa"/>
              <w:bottom w:w="0" w:type="dxa"/>
            </w:tcMar>
            <w:vAlign w:val="center"/>
          </w:tcPr>
          <w:p w14:paraId="627106AC" w14:textId="77777777" w:rsidR="00E22566" w:rsidRDefault="00000000">
            <w:pPr>
              <w:keepNext/>
              <w:keepLines/>
              <w:spacing w:after="0" w:line="240" w:lineRule="auto"/>
              <w:jc w:val="right"/>
            </w:pPr>
            <w:r>
              <w:rPr>
                <w:sz w:val="18"/>
              </w:rPr>
              <w:t>95.603,92</w:t>
            </w:r>
          </w:p>
        </w:tc>
        <w:tc>
          <w:tcPr>
            <w:tcW w:w="1860" w:type="dxa"/>
            <w:tcMar>
              <w:top w:w="0" w:type="dxa"/>
              <w:bottom w:w="0" w:type="dxa"/>
            </w:tcMar>
            <w:vAlign w:val="center"/>
          </w:tcPr>
          <w:p w14:paraId="2519D96A" w14:textId="77777777" w:rsidR="00E22566" w:rsidRDefault="00000000">
            <w:pPr>
              <w:keepNext/>
              <w:keepLines/>
              <w:spacing w:after="0" w:line="240" w:lineRule="auto"/>
              <w:jc w:val="right"/>
            </w:pPr>
            <w:r>
              <w:rPr>
                <w:sz w:val="18"/>
              </w:rPr>
              <w:t>121.640,73</w:t>
            </w:r>
          </w:p>
        </w:tc>
        <w:tc>
          <w:tcPr>
            <w:tcW w:w="700" w:type="dxa"/>
            <w:tcMar>
              <w:top w:w="0" w:type="dxa"/>
              <w:bottom w:w="0" w:type="dxa"/>
            </w:tcMar>
            <w:vAlign w:val="center"/>
          </w:tcPr>
          <w:p w14:paraId="6BB684AE" w14:textId="77777777" w:rsidR="00E22566" w:rsidRDefault="00000000">
            <w:pPr>
              <w:keepNext/>
              <w:keepLines/>
              <w:spacing w:after="0" w:line="240" w:lineRule="auto"/>
              <w:jc w:val="right"/>
            </w:pPr>
            <w:r>
              <w:rPr>
                <w:sz w:val="18"/>
              </w:rPr>
              <w:t>127,2</w:t>
            </w:r>
          </w:p>
        </w:tc>
      </w:tr>
    </w:tbl>
    <w:p w14:paraId="1366794F" w14:textId="77777777" w:rsidR="00E22566" w:rsidRDefault="00E22566">
      <w:pPr>
        <w:spacing w:after="0"/>
      </w:pPr>
    </w:p>
    <w:p w14:paraId="5D4887F1" w14:textId="77777777" w:rsidR="00E22566" w:rsidRDefault="00000000">
      <w:pPr>
        <w:jc w:val="both"/>
      </w:pPr>
      <w:r>
        <w:t>Konto 323 Rashodi za usluge je za 27,2% veći u odnosu na isto izvještajno razdoblje prethodne godine iz razloga što je došlo do značajnog povećanja usluga promidžbe i informiranja, intelektualnih i osobnih usluga te usluga tekućeg i investicijskog održavanja.</w:t>
      </w:r>
    </w:p>
    <w:p w14:paraId="429403E3" w14:textId="77777777" w:rsidR="00E22566" w:rsidRDefault="00E22566"/>
    <w:p w14:paraId="4366056A" w14:textId="77777777" w:rsidR="00E22566"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63B76D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EA8734"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51AB9C"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3151B7"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18D5B6"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CB873F"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107DD1" w14:textId="77777777" w:rsidR="00E22566" w:rsidRDefault="00000000">
            <w:pPr>
              <w:keepNext/>
              <w:keepLines/>
              <w:spacing w:after="0" w:line="240" w:lineRule="auto"/>
              <w:jc w:val="center"/>
            </w:pPr>
            <w:r>
              <w:rPr>
                <w:b/>
                <w:sz w:val="18"/>
              </w:rPr>
              <w:t>Indeks (%)</w:t>
            </w:r>
          </w:p>
        </w:tc>
      </w:tr>
      <w:tr w:rsidR="00E22566" w14:paraId="24933616" w14:textId="77777777">
        <w:tblPrEx>
          <w:tblCellMar>
            <w:top w:w="0" w:type="dxa"/>
            <w:bottom w:w="0" w:type="dxa"/>
          </w:tblCellMar>
        </w:tblPrEx>
        <w:trPr>
          <w:cantSplit/>
          <w:trHeight w:val="560"/>
        </w:trPr>
        <w:tc>
          <w:tcPr>
            <w:tcW w:w="700" w:type="dxa"/>
            <w:tcMar>
              <w:top w:w="0" w:type="dxa"/>
              <w:bottom w:w="0" w:type="dxa"/>
            </w:tcMar>
            <w:vAlign w:val="center"/>
          </w:tcPr>
          <w:p w14:paraId="0EE5392A" w14:textId="77777777" w:rsidR="00E22566" w:rsidRDefault="00000000">
            <w:pPr>
              <w:keepNext/>
              <w:keepLines/>
              <w:spacing w:after="0" w:line="240" w:lineRule="auto"/>
            </w:pPr>
            <w:r>
              <w:rPr>
                <w:sz w:val="18"/>
              </w:rPr>
              <w:t>3232</w:t>
            </w:r>
          </w:p>
        </w:tc>
        <w:tc>
          <w:tcPr>
            <w:tcW w:w="3180" w:type="dxa"/>
            <w:tcMar>
              <w:top w:w="0" w:type="dxa"/>
              <w:bottom w:w="0" w:type="dxa"/>
            </w:tcMar>
            <w:vAlign w:val="center"/>
          </w:tcPr>
          <w:p w14:paraId="0ACEA87F" w14:textId="77777777" w:rsidR="00E22566"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3522D85E" w14:textId="77777777" w:rsidR="00E22566" w:rsidRDefault="00000000">
            <w:pPr>
              <w:keepNext/>
              <w:keepLines/>
              <w:spacing w:after="0" w:line="240" w:lineRule="auto"/>
            </w:pPr>
            <w:r>
              <w:rPr>
                <w:sz w:val="18"/>
              </w:rPr>
              <w:t>3232</w:t>
            </w:r>
          </w:p>
        </w:tc>
        <w:tc>
          <w:tcPr>
            <w:tcW w:w="1860" w:type="dxa"/>
            <w:tcMar>
              <w:top w:w="0" w:type="dxa"/>
              <w:bottom w:w="0" w:type="dxa"/>
            </w:tcMar>
            <w:vAlign w:val="center"/>
          </w:tcPr>
          <w:p w14:paraId="14D36BE3" w14:textId="77777777" w:rsidR="00E22566" w:rsidRDefault="00000000">
            <w:pPr>
              <w:keepNext/>
              <w:keepLines/>
              <w:spacing w:after="0" w:line="240" w:lineRule="auto"/>
              <w:jc w:val="right"/>
            </w:pPr>
            <w:r>
              <w:rPr>
                <w:sz w:val="18"/>
              </w:rPr>
              <w:t>24.512,74</w:t>
            </w:r>
          </w:p>
        </w:tc>
        <w:tc>
          <w:tcPr>
            <w:tcW w:w="1860" w:type="dxa"/>
            <w:tcMar>
              <w:top w:w="0" w:type="dxa"/>
              <w:bottom w:w="0" w:type="dxa"/>
            </w:tcMar>
            <w:vAlign w:val="center"/>
          </w:tcPr>
          <w:p w14:paraId="0DDE9FDC" w14:textId="77777777" w:rsidR="00E22566" w:rsidRDefault="00000000">
            <w:pPr>
              <w:keepNext/>
              <w:keepLines/>
              <w:spacing w:after="0" w:line="240" w:lineRule="auto"/>
              <w:jc w:val="right"/>
            </w:pPr>
            <w:r>
              <w:rPr>
                <w:sz w:val="18"/>
              </w:rPr>
              <w:t>35.176,78</w:t>
            </w:r>
          </w:p>
        </w:tc>
        <w:tc>
          <w:tcPr>
            <w:tcW w:w="700" w:type="dxa"/>
            <w:tcMar>
              <w:top w:w="0" w:type="dxa"/>
              <w:bottom w:w="0" w:type="dxa"/>
            </w:tcMar>
            <w:vAlign w:val="center"/>
          </w:tcPr>
          <w:p w14:paraId="30A77DD6" w14:textId="77777777" w:rsidR="00E22566" w:rsidRDefault="00000000">
            <w:pPr>
              <w:keepNext/>
              <w:keepLines/>
              <w:spacing w:after="0" w:line="240" w:lineRule="auto"/>
              <w:jc w:val="right"/>
            </w:pPr>
            <w:r>
              <w:rPr>
                <w:sz w:val="18"/>
              </w:rPr>
              <w:t>143,5</w:t>
            </w:r>
          </w:p>
        </w:tc>
      </w:tr>
    </w:tbl>
    <w:p w14:paraId="3E8EBE70" w14:textId="77777777" w:rsidR="00E22566" w:rsidRDefault="00E22566">
      <w:pPr>
        <w:spacing w:after="0"/>
      </w:pPr>
    </w:p>
    <w:p w14:paraId="052C9D5E" w14:textId="77777777" w:rsidR="00E22566" w:rsidRDefault="00000000">
      <w:pPr>
        <w:jc w:val="both"/>
      </w:pPr>
      <w:r>
        <w:t>Konto 3232 Usluge tekućeg i investicijskog održavanja veći je za 43,5% u odnosu na isto izvještajno razdoblje prethodne godine iz razloga što je u predmetnom razdoblju bilo mnogo popravaka postrojenja i opreme, te održavanja građevinskog objekata.</w:t>
      </w:r>
    </w:p>
    <w:p w14:paraId="1B9DC7FD" w14:textId="77777777" w:rsidR="00E22566" w:rsidRDefault="00000000">
      <w:r>
        <w:t> </w:t>
      </w:r>
    </w:p>
    <w:p w14:paraId="0F0DE82A" w14:textId="77777777" w:rsidR="00E22566" w:rsidRDefault="00E22566"/>
    <w:p w14:paraId="23905007" w14:textId="77777777" w:rsidR="00E22566"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26D298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5ADBEE"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B42CED"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2C567D"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FEE3CF"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765358"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6813F7" w14:textId="77777777" w:rsidR="00E22566" w:rsidRDefault="00000000">
            <w:pPr>
              <w:keepNext/>
              <w:keepLines/>
              <w:spacing w:after="0" w:line="240" w:lineRule="auto"/>
              <w:jc w:val="center"/>
            </w:pPr>
            <w:r>
              <w:rPr>
                <w:b/>
                <w:sz w:val="18"/>
              </w:rPr>
              <w:t>Indeks (%)</w:t>
            </w:r>
          </w:p>
        </w:tc>
      </w:tr>
      <w:tr w:rsidR="00E22566" w14:paraId="32135A53" w14:textId="77777777">
        <w:tblPrEx>
          <w:tblCellMar>
            <w:top w:w="0" w:type="dxa"/>
            <w:bottom w:w="0" w:type="dxa"/>
          </w:tblCellMar>
        </w:tblPrEx>
        <w:trPr>
          <w:cantSplit/>
          <w:trHeight w:val="560"/>
        </w:trPr>
        <w:tc>
          <w:tcPr>
            <w:tcW w:w="700" w:type="dxa"/>
            <w:tcMar>
              <w:top w:w="0" w:type="dxa"/>
              <w:bottom w:w="0" w:type="dxa"/>
            </w:tcMar>
            <w:vAlign w:val="center"/>
          </w:tcPr>
          <w:p w14:paraId="7837727E" w14:textId="77777777" w:rsidR="00E22566" w:rsidRDefault="00000000">
            <w:pPr>
              <w:keepNext/>
              <w:keepLines/>
              <w:spacing w:after="0" w:line="240" w:lineRule="auto"/>
            </w:pPr>
            <w:r>
              <w:rPr>
                <w:sz w:val="18"/>
              </w:rPr>
              <w:t>3233</w:t>
            </w:r>
          </w:p>
        </w:tc>
        <w:tc>
          <w:tcPr>
            <w:tcW w:w="3180" w:type="dxa"/>
            <w:tcMar>
              <w:top w:w="0" w:type="dxa"/>
              <w:bottom w:w="0" w:type="dxa"/>
            </w:tcMar>
            <w:vAlign w:val="center"/>
          </w:tcPr>
          <w:p w14:paraId="02304995" w14:textId="77777777" w:rsidR="00E22566"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11838BB5" w14:textId="77777777" w:rsidR="00E22566" w:rsidRDefault="00000000">
            <w:pPr>
              <w:keepNext/>
              <w:keepLines/>
              <w:spacing w:after="0" w:line="240" w:lineRule="auto"/>
            </w:pPr>
            <w:r>
              <w:rPr>
                <w:sz w:val="18"/>
              </w:rPr>
              <w:t>3233</w:t>
            </w:r>
          </w:p>
        </w:tc>
        <w:tc>
          <w:tcPr>
            <w:tcW w:w="1860" w:type="dxa"/>
            <w:tcMar>
              <w:top w:w="0" w:type="dxa"/>
              <w:bottom w:w="0" w:type="dxa"/>
            </w:tcMar>
            <w:vAlign w:val="center"/>
          </w:tcPr>
          <w:p w14:paraId="7E936988" w14:textId="77777777" w:rsidR="00E22566" w:rsidRDefault="00000000">
            <w:pPr>
              <w:keepNext/>
              <w:keepLines/>
              <w:spacing w:after="0" w:line="240" w:lineRule="auto"/>
              <w:jc w:val="right"/>
            </w:pPr>
            <w:r>
              <w:rPr>
                <w:sz w:val="18"/>
              </w:rPr>
              <w:t>3.436,19</w:t>
            </w:r>
          </w:p>
        </w:tc>
        <w:tc>
          <w:tcPr>
            <w:tcW w:w="1860" w:type="dxa"/>
            <w:tcMar>
              <w:top w:w="0" w:type="dxa"/>
              <w:bottom w:w="0" w:type="dxa"/>
            </w:tcMar>
            <w:vAlign w:val="center"/>
          </w:tcPr>
          <w:p w14:paraId="784481E3" w14:textId="77777777" w:rsidR="00E22566" w:rsidRDefault="00000000">
            <w:pPr>
              <w:keepNext/>
              <w:keepLines/>
              <w:spacing w:after="0" w:line="240" w:lineRule="auto"/>
              <w:jc w:val="right"/>
            </w:pPr>
            <w:r>
              <w:rPr>
                <w:sz w:val="18"/>
              </w:rPr>
              <w:t>4.886,48</w:t>
            </w:r>
          </w:p>
        </w:tc>
        <w:tc>
          <w:tcPr>
            <w:tcW w:w="700" w:type="dxa"/>
            <w:tcMar>
              <w:top w:w="0" w:type="dxa"/>
              <w:bottom w:w="0" w:type="dxa"/>
            </w:tcMar>
            <w:vAlign w:val="center"/>
          </w:tcPr>
          <w:p w14:paraId="7737C87D" w14:textId="77777777" w:rsidR="00E22566" w:rsidRDefault="00000000">
            <w:pPr>
              <w:keepNext/>
              <w:keepLines/>
              <w:spacing w:after="0" w:line="240" w:lineRule="auto"/>
              <w:jc w:val="right"/>
            </w:pPr>
            <w:r>
              <w:rPr>
                <w:sz w:val="18"/>
              </w:rPr>
              <w:t>142,2</w:t>
            </w:r>
          </w:p>
        </w:tc>
      </w:tr>
    </w:tbl>
    <w:p w14:paraId="2B7CDFD2" w14:textId="77777777" w:rsidR="00E22566" w:rsidRDefault="00E22566">
      <w:pPr>
        <w:spacing w:after="0"/>
      </w:pPr>
    </w:p>
    <w:p w14:paraId="70A34192" w14:textId="77777777" w:rsidR="00E22566" w:rsidRDefault="00000000">
      <w:pPr>
        <w:jc w:val="both"/>
      </w:pPr>
      <w:r>
        <w:lastRenderedPageBreak/>
        <w:t>Konto 3233 Usluge promidžbe i informiranja je veći za 42,2% u odnosu na isto izvještajno razdoblje prethodne godine iz razloga što je u predmetnom izvještajnom razdoblju objavljivano više natječaja za slobodna radna mjesta u odnosu na isto izvještajno razdoblje prethodne godine.</w:t>
      </w:r>
    </w:p>
    <w:p w14:paraId="4217666A" w14:textId="77777777" w:rsidR="00E22566" w:rsidRDefault="00E22566"/>
    <w:p w14:paraId="16C0CB66" w14:textId="77777777" w:rsidR="00E22566"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453169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47C831"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D7EC39"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8E1A41"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91F764"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CCB7FC"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BAED60" w14:textId="77777777" w:rsidR="00E22566" w:rsidRDefault="00000000">
            <w:pPr>
              <w:keepNext/>
              <w:keepLines/>
              <w:spacing w:after="0" w:line="240" w:lineRule="auto"/>
              <w:jc w:val="center"/>
            </w:pPr>
            <w:r>
              <w:rPr>
                <w:b/>
                <w:sz w:val="18"/>
              </w:rPr>
              <w:t>Indeks (%)</w:t>
            </w:r>
          </w:p>
        </w:tc>
      </w:tr>
      <w:tr w:rsidR="00E22566" w14:paraId="3BFB1CD4" w14:textId="77777777">
        <w:tblPrEx>
          <w:tblCellMar>
            <w:top w:w="0" w:type="dxa"/>
            <w:bottom w:w="0" w:type="dxa"/>
          </w:tblCellMar>
        </w:tblPrEx>
        <w:trPr>
          <w:cantSplit/>
          <w:trHeight w:val="560"/>
        </w:trPr>
        <w:tc>
          <w:tcPr>
            <w:tcW w:w="700" w:type="dxa"/>
            <w:tcMar>
              <w:top w:w="0" w:type="dxa"/>
              <w:bottom w:w="0" w:type="dxa"/>
            </w:tcMar>
            <w:vAlign w:val="center"/>
          </w:tcPr>
          <w:p w14:paraId="13B75C5E" w14:textId="77777777" w:rsidR="00E22566" w:rsidRDefault="00000000">
            <w:pPr>
              <w:keepNext/>
              <w:keepLines/>
              <w:spacing w:after="0" w:line="240" w:lineRule="auto"/>
            </w:pPr>
            <w:r>
              <w:rPr>
                <w:sz w:val="18"/>
              </w:rPr>
              <w:t>3235</w:t>
            </w:r>
          </w:p>
        </w:tc>
        <w:tc>
          <w:tcPr>
            <w:tcW w:w="3180" w:type="dxa"/>
            <w:tcMar>
              <w:top w:w="0" w:type="dxa"/>
              <w:bottom w:w="0" w:type="dxa"/>
            </w:tcMar>
            <w:vAlign w:val="center"/>
          </w:tcPr>
          <w:p w14:paraId="7C5F3924" w14:textId="77777777" w:rsidR="00E22566" w:rsidRDefault="00000000">
            <w:pPr>
              <w:keepNext/>
              <w:keepLines/>
              <w:spacing w:after="0" w:line="240" w:lineRule="auto"/>
            </w:pPr>
            <w:r>
              <w:rPr>
                <w:sz w:val="18"/>
              </w:rPr>
              <w:t>Zakupnine i najamnine</w:t>
            </w:r>
          </w:p>
        </w:tc>
        <w:tc>
          <w:tcPr>
            <w:tcW w:w="700" w:type="dxa"/>
            <w:tcMar>
              <w:top w:w="0" w:type="dxa"/>
              <w:bottom w:w="0" w:type="dxa"/>
            </w:tcMar>
            <w:vAlign w:val="center"/>
          </w:tcPr>
          <w:p w14:paraId="6C2026B7" w14:textId="77777777" w:rsidR="00E22566" w:rsidRDefault="00000000">
            <w:pPr>
              <w:keepNext/>
              <w:keepLines/>
              <w:spacing w:after="0" w:line="240" w:lineRule="auto"/>
            </w:pPr>
            <w:r>
              <w:rPr>
                <w:sz w:val="18"/>
              </w:rPr>
              <w:t>3235</w:t>
            </w:r>
          </w:p>
        </w:tc>
        <w:tc>
          <w:tcPr>
            <w:tcW w:w="1860" w:type="dxa"/>
            <w:tcMar>
              <w:top w:w="0" w:type="dxa"/>
              <w:bottom w:w="0" w:type="dxa"/>
            </w:tcMar>
            <w:vAlign w:val="center"/>
          </w:tcPr>
          <w:p w14:paraId="287A3870" w14:textId="77777777" w:rsidR="00E22566" w:rsidRDefault="00000000">
            <w:pPr>
              <w:keepNext/>
              <w:keepLines/>
              <w:spacing w:after="0" w:line="240" w:lineRule="auto"/>
              <w:jc w:val="right"/>
            </w:pPr>
            <w:r>
              <w:rPr>
                <w:sz w:val="18"/>
              </w:rPr>
              <w:t>294,50</w:t>
            </w:r>
          </w:p>
        </w:tc>
        <w:tc>
          <w:tcPr>
            <w:tcW w:w="1860" w:type="dxa"/>
            <w:tcMar>
              <w:top w:w="0" w:type="dxa"/>
              <w:bottom w:w="0" w:type="dxa"/>
            </w:tcMar>
            <w:vAlign w:val="center"/>
          </w:tcPr>
          <w:p w14:paraId="73D3E133" w14:textId="77777777" w:rsidR="00E22566" w:rsidRDefault="00000000">
            <w:pPr>
              <w:keepNext/>
              <w:keepLines/>
              <w:spacing w:after="0" w:line="240" w:lineRule="auto"/>
              <w:jc w:val="right"/>
            </w:pPr>
            <w:r>
              <w:rPr>
                <w:sz w:val="18"/>
              </w:rPr>
              <w:t>393,81</w:t>
            </w:r>
          </w:p>
        </w:tc>
        <w:tc>
          <w:tcPr>
            <w:tcW w:w="700" w:type="dxa"/>
            <w:tcMar>
              <w:top w:w="0" w:type="dxa"/>
              <w:bottom w:w="0" w:type="dxa"/>
            </w:tcMar>
            <w:vAlign w:val="center"/>
          </w:tcPr>
          <w:p w14:paraId="22734A6E" w14:textId="77777777" w:rsidR="00E22566" w:rsidRDefault="00000000">
            <w:pPr>
              <w:keepNext/>
              <w:keepLines/>
              <w:spacing w:after="0" w:line="240" w:lineRule="auto"/>
              <w:jc w:val="right"/>
            </w:pPr>
            <w:r>
              <w:rPr>
                <w:sz w:val="18"/>
              </w:rPr>
              <w:t>133,7</w:t>
            </w:r>
          </w:p>
        </w:tc>
      </w:tr>
    </w:tbl>
    <w:p w14:paraId="2B8DB3B4" w14:textId="77777777" w:rsidR="00E22566" w:rsidRDefault="00E22566">
      <w:pPr>
        <w:spacing w:after="0"/>
      </w:pPr>
    </w:p>
    <w:p w14:paraId="7633CD30" w14:textId="77777777" w:rsidR="00E22566" w:rsidRDefault="00000000">
      <w:r>
        <w:t>Konto 3235 Zakupnine i najamnine u 2025. godini bilježi znatno povećanje iz razloga što je došlo do poskupljenja cijene antivirusnih licenci koje Dom svake godine zakupljuje.</w:t>
      </w:r>
    </w:p>
    <w:p w14:paraId="3C53B19C" w14:textId="77777777" w:rsidR="00E22566" w:rsidRDefault="00E22566"/>
    <w:p w14:paraId="71D17B38" w14:textId="77777777" w:rsidR="00E22566"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7E7CC0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71137A"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04D3CF"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3E97A5"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4C80E9"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FA611C"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6C2965" w14:textId="77777777" w:rsidR="00E22566" w:rsidRDefault="00000000">
            <w:pPr>
              <w:keepNext/>
              <w:keepLines/>
              <w:spacing w:after="0" w:line="240" w:lineRule="auto"/>
              <w:jc w:val="center"/>
            </w:pPr>
            <w:r>
              <w:rPr>
                <w:b/>
                <w:sz w:val="18"/>
              </w:rPr>
              <w:t>Indeks (%)</w:t>
            </w:r>
          </w:p>
        </w:tc>
      </w:tr>
      <w:tr w:rsidR="00E22566" w14:paraId="28ECB5D5" w14:textId="77777777">
        <w:tblPrEx>
          <w:tblCellMar>
            <w:top w:w="0" w:type="dxa"/>
            <w:bottom w:w="0" w:type="dxa"/>
          </w:tblCellMar>
        </w:tblPrEx>
        <w:trPr>
          <w:cantSplit/>
          <w:trHeight w:val="560"/>
        </w:trPr>
        <w:tc>
          <w:tcPr>
            <w:tcW w:w="700" w:type="dxa"/>
            <w:tcMar>
              <w:top w:w="0" w:type="dxa"/>
              <w:bottom w:w="0" w:type="dxa"/>
            </w:tcMar>
            <w:vAlign w:val="center"/>
          </w:tcPr>
          <w:p w14:paraId="12EB895F" w14:textId="77777777" w:rsidR="00E22566" w:rsidRDefault="00000000">
            <w:pPr>
              <w:keepNext/>
              <w:keepLines/>
              <w:spacing w:after="0" w:line="240" w:lineRule="auto"/>
            </w:pPr>
            <w:r>
              <w:rPr>
                <w:sz w:val="18"/>
              </w:rPr>
              <w:t>3237</w:t>
            </w:r>
          </w:p>
        </w:tc>
        <w:tc>
          <w:tcPr>
            <w:tcW w:w="3180" w:type="dxa"/>
            <w:tcMar>
              <w:top w:w="0" w:type="dxa"/>
              <w:bottom w:w="0" w:type="dxa"/>
            </w:tcMar>
            <w:vAlign w:val="center"/>
          </w:tcPr>
          <w:p w14:paraId="7101CB2A" w14:textId="77777777" w:rsidR="00E22566"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6CDBF94D" w14:textId="77777777" w:rsidR="00E22566" w:rsidRDefault="00000000">
            <w:pPr>
              <w:keepNext/>
              <w:keepLines/>
              <w:spacing w:after="0" w:line="240" w:lineRule="auto"/>
            </w:pPr>
            <w:r>
              <w:rPr>
                <w:sz w:val="18"/>
              </w:rPr>
              <w:t>3237</w:t>
            </w:r>
          </w:p>
        </w:tc>
        <w:tc>
          <w:tcPr>
            <w:tcW w:w="1860" w:type="dxa"/>
            <w:tcMar>
              <w:top w:w="0" w:type="dxa"/>
              <w:bottom w:w="0" w:type="dxa"/>
            </w:tcMar>
            <w:vAlign w:val="center"/>
          </w:tcPr>
          <w:p w14:paraId="4DF7E04E" w14:textId="77777777" w:rsidR="00E22566" w:rsidRDefault="00000000">
            <w:pPr>
              <w:keepNext/>
              <w:keepLines/>
              <w:spacing w:after="0" w:line="240" w:lineRule="auto"/>
              <w:jc w:val="right"/>
            </w:pPr>
            <w:r>
              <w:rPr>
                <w:sz w:val="18"/>
              </w:rPr>
              <w:t>6.038,68</w:t>
            </w:r>
          </w:p>
        </w:tc>
        <w:tc>
          <w:tcPr>
            <w:tcW w:w="1860" w:type="dxa"/>
            <w:tcMar>
              <w:top w:w="0" w:type="dxa"/>
              <w:bottom w:w="0" w:type="dxa"/>
            </w:tcMar>
            <w:vAlign w:val="center"/>
          </w:tcPr>
          <w:p w14:paraId="3964E861" w14:textId="77777777" w:rsidR="00E22566" w:rsidRDefault="00000000">
            <w:pPr>
              <w:keepNext/>
              <w:keepLines/>
              <w:spacing w:after="0" w:line="240" w:lineRule="auto"/>
              <w:jc w:val="right"/>
            </w:pPr>
            <w:r>
              <w:rPr>
                <w:sz w:val="18"/>
              </w:rPr>
              <w:t>11.976,36</w:t>
            </w:r>
          </w:p>
        </w:tc>
        <w:tc>
          <w:tcPr>
            <w:tcW w:w="700" w:type="dxa"/>
            <w:tcMar>
              <w:top w:w="0" w:type="dxa"/>
              <w:bottom w:w="0" w:type="dxa"/>
            </w:tcMar>
            <w:vAlign w:val="center"/>
          </w:tcPr>
          <w:p w14:paraId="6F33951F" w14:textId="77777777" w:rsidR="00E22566" w:rsidRDefault="00000000">
            <w:pPr>
              <w:keepNext/>
              <w:keepLines/>
              <w:spacing w:after="0" w:line="240" w:lineRule="auto"/>
              <w:jc w:val="right"/>
            </w:pPr>
            <w:r>
              <w:rPr>
                <w:sz w:val="18"/>
              </w:rPr>
              <w:t>198,3</w:t>
            </w:r>
          </w:p>
        </w:tc>
      </w:tr>
    </w:tbl>
    <w:p w14:paraId="1C0871B1" w14:textId="77777777" w:rsidR="00E22566" w:rsidRDefault="00E22566">
      <w:pPr>
        <w:spacing w:after="0"/>
      </w:pPr>
    </w:p>
    <w:p w14:paraId="0AFE4774" w14:textId="77777777" w:rsidR="00E22566" w:rsidRDefault="00000000">
      <w:pPr>
        <w:jc w:val="both"/>
      </w:pPr>
      <w:r>
        <w:t>Konto 3237 Intelektualne i osobne usluge je značajno povećan u odnosu na isto izvještajno razdoblje prethodne godine iz razloga što su u predmetnom izvještajnom razdoblju u većoj mjeri korištene usluge odvjetnika. Također je izrađen izvedbeni projekt za novi vatrodojavni sustav na stambenom dijelu Doma za starije i nemoćne osobe Požega, angažiran nadzor prilikom izvođenja radova ugradnje novog vatrodojavnog sustava, te je izrađena i Procjena rizika kućne vodoospkrbne mreže prioritetnog objekta, a koji su knjiženi na konto ostale intelektualne usluge.</w:t>
      </w:r>
    </w:p>
    <w:p w14:paraId="5807F0CD" w14:textId="77777777" w:rsidR="00E22566" w:rsidRDefault="00E22566"/>
    <w:p w14:paraId="43ADC323" w14:textId="77777777" w:rsidR="00E22566"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14610F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23E74F"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6DBA7D"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97F964"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476313"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B07931"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26037F" w14:textId="77777777" w:rsidR="00E22566" w:rsidRDefault="00000000">
            <w:pPr>
              <w:keepNext/>
              <w:keepLines/>
              <w:spacing w:after="0" w:line="240" w:lineRule="auto"/>
              <w:jc w:val="center"/>
            </w:pPr>
            <w:r>
              <w:rPr>
                <w:b/>
                <w:sz w:val="18"/>
              </w:rPr>
              <w:t>Indeks (%)</w:t>
            </w:r>
          </w:p>
        </w:tc>
      </w:tr>
      <w:tr w:rsidR="00E22566" w14:paraId="2D8B328A" w14:textId="77777777">
        <w:tblPrEx>
          <w:tblCellMar>
            <w:top w:w="0" w:type="dxa"/>
            <w:bottom w:w="0" w:type="dxa"/>
          </w:tblCellMar>
        </w:tblPrEx>
        <w:trPr>
          <w:cantSplit/>
          <w:trHeight w:val="560"/>
        </w:trPr>
        <w:tc>
          <w:tcPr>
            <w:tcW w:w="700" w:type="dxa"/>
            <w:tcMar>
              <w:top w:w="0" w:type="dxa"/>
              <w:bottom w:w="0" w:type="dxa"/>
            </w:tcMar>
            <w:vAlign w:val="center"/>
          </w:tcPr>
          <w:p w14:paraId="6AABF8FE" w14:textId="77777777" w:rsidR="00E22566" w:rsidRDefault="00000000">
            <w:pPr>
              <w:keepNext/>
              <w:keepLines/>
              <w:spacing w:after="0" w:line="240" w:lineRule="auto"/>
            </w:pPr>
            <w:r>
              <w:rPr>
                <w:sz w:val="18"/>
              </w:rPr>
              <w:t>3238</w:t>
            </w:r>
          </w:p>
        </w:tc>
        <w:tc>
          <w:tcPr>
            <w:tcW w:w="3180" w:type="dxa"/>
            <w:tcMar>
              <w:top w:w="0" w:type="dxa"/>
              <w:bottom w:w="0" w:type="dxa"/>
            </w:tcMar>
            <w:vAlign w:val="center"/>
          </w:tcPr>
          <w:p w14:paraId="627C0D93" w14:textId="77777777" w:rsidR="00E22566" w:rsidRDefault="00000000">
            <w:pPr>
              <w:keepNext/>
              <w:keepLines/>
              <w:spacing w:after="0" w:line="240" w:lineRule="auto"/>
            </w:pPr>
            <w:r>
              <w:rPr>
                <w:sz w:val="18"/>
              </w:rPr>
              <w:t>Računalne usluge</w:t>
            </w:r>
          </w:p>
        </w:tc>
        <w:tc>
          <w:tcPr>
            <w:tcW w:w="700" w:type="dxa"/>
            <w:tcMar>
              <w:top w:w="0" w:type="dxa"/>
              <w:bottom w:w="0" w:type="dxa"/>
            </w:tcMar>
            <w:vAlign w:val="center"/>
          </w:tcPr>
          <w:p w14:paraId="4C21B06B" w14:textId="77777777" w:rsidR="00E22566" w:rsidRDefault="00000000">
            <w:pPr>
              <w:keepNext/>
              <w:keepLines/>
              <w:spacing w:after="0" w:line="240" w:lineRule="auto"/>
            </w:pPr>
            <w:r>
              <w:rPr>
                <w:sz w:val="18"/>
              </w:rPr>
              <w:t>3238</w:t>
            </w:r>
          </w:p>
        </w:tc>
        <w:tc>
          <w:tcPr>
            <w:tcW w:w="1860" w:type="dxa"/>
            <w:tcMar>
              <w:top w:w="0" w:type="dxa"/>
              <w:bottom w:w="0" w:type="dxa"/>
            </w:tcMar>
            <w:vAlign w:val="center"/>
          </w:tcPr>
          <w:p w14:paraId="4379E7EA" w14:textId="77777777" w:rsidR="00E22566" w:rsidRDefault="00000000">
            <w:pPr>
              <w:keepNext/>
              <w:keepLines/>
              <w:spacing w:after="0" w:line="240" w:lineRule="auto"/>
              <w:jc w:val="right"/>
            </w:pPr>
            <w:r>
              <w:rPr>
                <w:sz w:val="18"/>
              </w:rPr>
              <w:t>5.571,58</w:t>
            </w:r>
          </w:p>
        </w:tc>
        <w:tc>
          <w:tcPr>
            <w:tcW w:w="1860" w:type="dxa"/>
            <w:tcMar>
              <w:top w:w="0" w:type="dxa"/>
              <w:bottom w:w="0" w:type="dxa"/>
            </w:tcMar>
            <w:vAlign w:val="center"/>
          </w:tcPr>
          <w:p w14:paraId="36C2DD31" w14:textId="77777777" w:rsidR="00E22566" w:rsidRDefault="00000000">
            <w:pPr>
              <w:keepNext/>
              <w:keepLines/>
              <w:spacing w:after="0" w:line="240" w:lineRule="auto"/>
              <w:jc w:val="right"/>
            </w:pPr>
            <w:r>
              <w:rPr>
                <w:sz w:val="18"/>
              </w:rPr>
              <w:t>5.904,21</w:t>
            </w:r>
          </w:p>
        </w:tc>
        <w:tc>
          <w:tcPr>
            <w:tcW w:w="700" w:type="dxa"/>
            <w:tcMar>
              <w:top w:w="0" w:type="dxa"/>
              <w:bottom w:w="0" w:type="dxa"/>
            </w:tcMar>
            <w:vAlign w:val="center"/>
          </w:tcPr>
          <w:p w14:paraId="6CAC6AD4" w14:textId="77777777" w:rsidR="00E22566" w:rsidRDefault="00000000">
            <w:pPr>
              <w:keepNext/>
              <w:keepLines/>
              <w:spacing w:after="0" w:line="240" w:lineRule="auto"/>
              <w:jc w:val="right"/>
            </w:pPr>
            <w:r>
              <w:rPr>
                <w:sz w:val="18"/>
              </w:rPr>
              <w:t>106,0</w:t>
            </w:r>
          </w:p>
        </w:tc>
      </w:tr>
    </w:tbl>
    <w:p w14:paraId="501EA4C9" w14:textId="77777777" w:rsidR="00E22566" w:rsidRDefault="00E22566">
      <w:pPr>
        <w:spacing w:after="0"/>
      </w:pPr>
    </w:p>
    <w:p w14:paraId="42A485E4" w14:textId="77777777" w:rsidR="00E22566" w:rsidRDefault="00000000">
      <w:pPr>
        <w:jc w:val="both"/>
      </w:pPr>
      <w:r>
        <w:t>Konto 3238 Računalne usluge veći je za 6% u odnosu na isto izvještajno razdoblje prethodne godine, a zbog korištenja većeg broja računalnih usluga u odnosu na isto izvještajno razdoblje prethodne godine.</w:t>
      </w:r>
    </w:p>
    <w:p w14:paraId="3CB1519F" w14:textId="77777777" w:rsidR="00E22566" w:rsidRDefault="00E22566"/>
    <w:p w14:paraId="799519C6" w14:textId="77777777" w:rsidR="00E22566"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62B357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0AB90A"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699510"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887E40"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602569"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87DD8D"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4B2ABC" w14:textId="77777777" w:rsidR="00E22566" w:rsidRDefault="00000000">
            <w:pPr>
              <w:keepNext/>
              <w:keepLines/>
              <w:spacing w:after="0" w:line="240" w:lineRule="auto"/>
              <w:jc w:val="center"/>
            </w:pPr>
            <w:r>
              <w:rPr>
                <w:b/>
                <w:sz w:val="18"/>
              </w:rPr>
              <w:t>Indeks (%)</w:t>
            </w:r>
          </w:p>
        </w:tc>
      </w:tr>
      <w:tr w:rsidR="00E22566" w14:paraId="5F63EC57" w14:textId="77777777">
        <w:tblPrEx>
          <w:tblCellMar>
            <w:top w:w="0" w:type="dxa"/>
            <w:bottom w:w="0" w:type="dxa"/>
          </w:tblCellMar>
        </w:tblPrEx>
        <w:trPr>
          <w:cantSplit/>
          <w:trHeight w:val="560"/>
        </w:trPr>
        <w:tc>
          <w:tcPr>
            <w:tcW w:w="700" w:type="dxa"/>
            <w:tcMar>
              <w:top w:w="0" w:type="dxa"/>
              <w:bottom w:w="0" w:type="dxa"/>
            </w:tcMar>
            <w:vAlign w:val="center"/>
          </w:tcPr>
          <w:p w14:paraId="152509DC" w14:textId="77777777" w:rsidR="00E22566" w:rsidRDefault="00000000">
            <w:pPr>
              <w:keepNext/>
              <w:keepLines/>
              <w:spacing w:after="0" w:line="240" w:lineRule="auto"/>
            </w:pPr>
            <w:r>
              <w:rPr>
                <w:sz w:val="18"/>
              </w:rPr>
              <w:t>3295</w:t>
            </w:r>
          </w:p>
        </w:tc>
        <w:tc>
          <w:tcPr>
            <w:tcW w:w="3180" w:type="dxa"/>
            <w:tcMar>
              <w:top w:w="0" w:type="dxa"/>
              <w:bottom w:w="0" w:type="dxa"/>
            </w:tcMar>
            <w:vAlign w:val="center"/>
          </w:tcPr>
          <w:p w14:paraId="48F7F797" w14:textId="77777777" w:rsidR="00E22566" w:rsidRDefault="00000000">
            <w:pPr>
              <w:keepNext/>
              <w:keepLines/>
              <w:spacing w:after="0" w:line="240" w:lineRule="auto"/>
            </w:pPr>
            <w:r>
              <w:rPr>
                <w:sz w:val="18"/>
              </w:rPr>
              <w:t>Pristojbe i naknade</w:t>
            </w:r>
          </w:p>
        </w:tc>
        <w:tc>
          <w:tcPr>
            <w:tcW w:w="700" w:type="dxa"/>
            <w:tcMar>
              <w:top w:w="0" w:type="dxa"/>
              <w:bottom w:w="0" w:type="dxa"/>
            </w:tcMar>
            <w:vAlign w:val="center"/>
          </w:tcPr>
          <w:p w14:paraId="6BE23E4F" w14:textId="77777777" w:rsidR="00E22566" w:rsidRDefault="00000000">
            <w:pPr>
              <w:keepNext/>
              <w:keepLines/>
              <w:spacing w:after="0" w:line="240" w:lineRule="auto"/>
            </w:pPr>
            <w:r>
              <w:rPr>
                <w:sz w:val="18"/>
              </w:rPr>
              <w:t>3295</w:t>
            </w:r>
          </w:p>
        </w:tc>
        <w:tc>
          <w:tcPr>
            <w:tcW w:w="1860" w:type="dxa"/>
            <w:tcMar>
              <w:top w:w="0" w:type="dxa"/>
              <w:bottom w:w="0" w:type="dxa"/>
            </w:tcMar>
            <w:vAlign w:val="center"/>
          </w:tcPr>
          <w:p w14:paraId="617D5076" w14:textId="77777777" w:rsidR="00E22566" w:rsidRDefault="00000000">
            <w:pPr>
              <w:keepNext/>
              <w:keepLines/>
              <w:spacing w:after="0" w:line="240" w:lineRule="auto"/>
              <w:jc w:val="right"/>
            </w:pPr>
            <w:r>
              <w:rPr>
                <w:sz w:val="18"/>
              </w:rPr>
              <w:t>7.738,64</w:t>
            </w:r>
          </w:p>
        </w:tc>
        <w:tc>
          <w:tcPr>
            <w:tcW w:w="1860" w:type="dxa"/>
            <w:tcMar>
              <w:top w:w="0" w:type="dxa"/>
              <w:bottom w:w="0" w:type="dxa"/>
            </w:tcMar>
            <w:vAlign w:val="center"/>
          </w:tcPr>
          <w:p w14:paraId="1F84B123" w14:textId="77777777" w:rsidR="00E22566" w:rsidRDefault="00000000">
            <w:pPr>
              <w:keepNext/>
              <w:keepLines/>
              <w:spacing w:after="0" w:line="240" w:lineRule="auto"/>
              <w:jc w:val="right"/>
            </w:pPr>
            <w:r>
              <w:rPr>
                <w:sz w:val="18"/>
              </w:rPr>
              <w:t>9.662,47</w:t>
            </w:r>
          </w:p>
        </w:tc>
        <w:tc>
          <w:tcPr>
            <w:tcW w:w="700" w:type="dxa"/>
            <w:tcMar>
              <w:top w:w="0" w:type="dxa"/>
              <w:bottom w:w="0" w:type="dxa"/>
            </w:tcMar>
            <w:vAlign w:val="center"/>
          </w:tcPr>
          <w:p w14:paraId="408C3F44" w14:textId="77777777" w:rsidR="00E22566" w:rsidRDefault="00000000">
            <w:pPr>
              <w:keepNext/>
              <w:keepLines/>
              <w:spacing w:after="0" w:line="240" w:lineRule="auto"/>
              <w:jc w:val="right"/>
            </w:pPr>
            <w:r>
              <w:rPr>
                <w:sz w:val="18"/>
              </w:rPr>
              <w:t>124,9</w:t>
            </w:r>
          </w:p>
        </w:tc>
      </w:tr>
    </w:tbl>
    <w:p w14:paraId="176EC13D" w14:textId="77777777" w:rsidR="00E22566" w:rsidRDefault="00E22566">
      <w:pPr>
        <w:spacing w:after="0"/>
      </w:pPr>
    </w:p>
    <w:p w14:paraId="0EF80FC3" w14:textId="77777777" w:rsidR="00E22566" w:rsidRDefault="00000000">
      <w:pPr>
        <w:jc w:val="both"/>
      </w:pPr>
      <w:r>
        <w:t>Konto 3295 Pristojbe i naknade veći je za 24,9% u odnosu na isto izvještajno razdoblje prethodne godine, a iz razloga što se u predmetnom izvještajnom razdoblju uplaćivala novčana naknada poslodavca zbog nezapošljavanja osoba s invaliditetom i javnobilježničke pristojbe za pokretanje ovrha za kašnjenje sa plaćanjem računa za socijalnu uslugu smještaja.</w:t>
      </w:r>
    </w:p>
    <w:p w14:paraId="5D817412" w14:textId="77777777" w:rsidR="00E22566" w:rsidRDefault="00E22566"/>
    <w:p w14:paraId="4A4EB446" w14:textId="77777777" w:rsidR="00E22566"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3381B4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66C42F"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81285A"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F5C00A"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D51414"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7011F1"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6D19C0" w14:textId="77777777" w:rsidR="00E22566" w:rsidRDefault="00000000">
            <w:pPr>
              <w:keepNext/>
              <w:keepLines/>
              <w:spacing w:after="0" w:line="240" w:lineRule="auto"/>
              <w:jc w:val="center"/>
            </w:pPr>
            <w:r>
              <w:rPr>
                <w:b/>
                <w:sz w:val="18"/>
              </w:rPr>
              <w:t>Indeks (%)</w:t>
            </w:r>
          </w:p>
        </w:tc>
      </w:tr>
      <w:tr w:rsidR="00E22566" w14:paraId="36EBE03A" w14:textId="77777777">
        <w:tblPrEx>
          <w:tblCellMar>
            <w:top w:w="0" w:type="dxa"/>
            <w:bottom w:w="0" w:type="dxa"/>
          </w:tblCellMar>
        </w:tblPrEx>
        <w:trPr>
          <w:cantSplit/>
          <w:trHeight w:val="560"/>
        </w:trPr>
        <w:tc>
          <w:tcPr>
            <w:tcW w:w="700" w:type="dxa"/>
            <w:tcMar>
              <w:top w:w="0" w:type="dxa"/>
              <w:bottom w:w="0" w:type="dxa"/>
            </w:tcMar>
            <w:vAlign w:val="center"/>
          </w:tcPr>
          <w:p w14:paraId="11F136EB" w14:textId="77777777" w:rsidR="00E22566" w:rsidRDefault="00000000">
            <w:pPr>
              <w:keepNext/>
              <w:keepLines/>
              <w:spacing w:after="0" w:line="240" w:lineRule="auto"/>
            </w:pPr>
            <w:r>
              <w:rPr>
                <w:sz w:val="18"/>
              </w:rPr>
              <w:t>3431</w:t>
            </w:r>
          </w:p>
        </w:tc>
        <w:tc>
          <w:tcPr>
            <w:tcW w:w="3180" w:type="dxa"/>
            <w:tcMar>
              <w:top w:w="0" w:type="dxa"/>
              <w:bottom w:w="0" w:type="dxa"/>
            </w:tcMar>
            <w:vAlign w:val="center"/>
          </w:tcPr>
          <w:p w14:paraId="6DD494C2" w14:textId="77777777" w:rsidR="00E22566"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0F5BC9F2" w14:textId="77777777" w:rsidR="00E22566" w:rsidRDefault="00000000">
            <w:pPr>
              <w:keepNext/>
              <w:keepLines/>
              <w:spacing w:after="0" w:line="240" w:lineRule="auto"/>
            </w:pPr>
            <w:r>
              <w:rPr>
                <w:sz w:val="18"/>
              </w:rPr>
              <w:t>3431</w:t>
            </w:r>
          </w:p>
        </w:tc>
        <w:tc>
          <w:tcPr>
            <w:tcW w:w="1860" w:type="dxa"/>
            <w:tcMar>
              <w:top w:w="0" w:type="dxa"/>
              <w:bottom w:w="0" w:type="dxa"/>
            </w:tcMar>
            <w:vAlign w:val="center"/>
          </w:tcPr>
          <w:p w14:paraId="4F5EF8F1" w14:textId="77777777" w:rsidR="00E22566" w:rsidRDefault="00000000">
            <w:pPr>
              <w:keepNext/>
              <w:keepLines/>
              <w:spacing w:after="0" w:line="240" w:lineRule="auto"/>
              <w:jc w:val="right"/>
            </w:pPr>
            <w:r>
              <w:rPr>
                <w:sz w:val="18"/>
              </w:rPr>
              <w:t>4.709,79</w:t>
            </w:r>
          </w:p>
        </w:tc>
        <w:tc>
          <w:tcPr>
            <w:tcW w:w="1860" w:type="dxa"/>
            <w:tcMar>
              <w:top w:w="0" w:type="dxa"/>
              <w:bottom w:w="0" w:type="dxa"/>
            </w:tcMar>
            <w:vAlign w:val="center"/>
          </w:tcPr>
          <w:p w14:paraId="09811FF4" w14:textId="77777777" w:rsidR="00E22566" w:rsidRDefault="00000000">
            <w:pPr>
              <w:keepNext/>
              <w:keepLines/>
              <w:spacing w:after="0" w:line="240" w:lineRule="auto"/>
              <w:jc w:val="right"/>
            </w:pPr>
            <w:r>
              <w:rPr>
                <w:sz w:val="18"/>
              </w:rPr>
              <w:t>5.162,61</w:t>
            </w:r>
          </w:p>
        </w:tc>
        <w:tc>
          <w:tcPr>
            <w:tcW w:w="700" w:type="dxa"/>
            <w:tcMar>
              <w:top w:w="0" w:type="dxa"/>
              <w:bottom w:w="0" w:type="dxa"/>
            </w:tcMar>
            <w:vAlign w:val="center"/>
          </w:tcPr>
          <w:p w14:paraId="39B3846B" w14:textId="77777777" w:rsidR="00E22566" w:rsidRDefault="00000000">
            <w:pPr>
              <w:keepNext/>
              <w:keepLines/>
              <w:spacing w:after="0" w:line="240" w:lineRule="auto"/>
              <w:jc w:val="right"/>
            </w:pPr>
            <w:r>
              <w:rPr>
                <w:sz w:val="18"/>
              </w:rPr>
              <w:t>109,6</w:t>
            </w:r>
          </w:p>
        </w:tc>
      </w:tr>
    </w:tbl>
    <w:p w14:paraId="1205E55E" w14:textId="77777777" w:rsidR="00E22566" w:rsidRDefault="00E22566">
      <w:pPr>
        <w:spacing w:after="0"/>
      </w:pPr>
    </w:p>
    <w:p w14:paraId="073D07E4" w14:textId="77777777" w:rsidR="00E22566" w:rsidRDefault="00000000">
      <w:pPr>
        <w:jc w:val="both"/>
      </w:pPr>
      <w:r>
        <w:t>Konto 3431 Bankarske usluge i usluge platnog prometa se povećao za 9,6% u odnosu na isto izvještajno razdoblje prethodne godine iz razloga što je došlo do poskupljenja bankarskih usluga i usluga platnog prometa.</w:t>
      </w:r>
    </w:p>
    <w:p w14:paraId="4B6466E8" w14:textId="77777777" w:rsidR="00E22566" w:rsidRDefault="00E22566"/>
    <w:p w14:paraId="65CCAB25" w14:textId="77777777" w:rsidR="00E22566"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138C14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CE949D"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2833A2"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51BD91"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E25D36"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1EABEC"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B64544" w14:textId="77777777" w:rsidR="00E22566" w:rsidRDefault="00000000">
            <w:pPr>
              <w:keepNext/>
              <w:keepLines/>
              <w:spacing w:after="0" w:line="240" w:lineRule="auto"/>
              <w:jc w:val="center"/>
            </w:pPr>
            <w:r>
              <w:rPr>
                <w:b/>
                <w:sz w:val="18"/>
              </w:rPr>
              <w:t>Indeks (%)</w:t>
            </w:r>
          </w:p>
        </w:tc>
      </w:tr>
      <w:tr w:rsidR="00E22566" w14:paraId="4AEA48B3" w14:textId="77777777">
        <w:tblPrEx>
          <w:tblCellMar>
            <w:top w:w="0" w:type="dxa"/>
            <w:bottom w:w="0" w:type="dxa"/>
          </w:tblCellMar>
        </w:tblPrEx>
        <w:trPr>
          <w:cantSplit/>
          <w:trHeight w:val="560"/>
        </w:trPr>
        <w:tc>
          <w:tcPr>
            <w:tcW w:w="700" w:type="dxa"/>
            <w:tcMar>
              <w:top w:w="0" w:type="dxa"/>
              <w:bottom w:w="0" w:type="dxa"/>
            </w:tcMar>
            <w:vAlign w:val="center"/>
          </w:tcPr>
          <w:p w14:paraId="000C808E" w14:textId="77777777" w:rsidR="00E22566" w:rsidRDefault="00000000">
            <w:pPr>
              <w:keepNext/>
              <w:keepLines/>
              <w:spacing w:after="0" w:line="240" w:lineRule="auto"/>
            </w:pPr>
            <w:r>
              <w:rPr>
                <w:sz w:val="18"/>
              </w:rPr>
              <w:t>3721</w:t>
            </w:r>
          </w:p>
        </w:tc>
        <w:tc>
          <w:tcPr>
            <w:tcW w:w="3180" w:type="dxa"/>
            <w:tcMar>
              <w:top w:w="0" w:type="dxa"/>
              <w:bottom w:w="0" w:type="dxa"/>
            </w:tcMar>
            <w:vAlign w:val="center"/>
          </w:tcPr>
          <w:p w14:paraId="7AAC65A1" w14:textId="77777777" w:rsidR="00E22566"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42C3CB79" w14:textId="77777777" w:rsidR="00E22566" w:rsidRDefault="00000000">
            <w:pPr>
              <w:keepNext/>
              <w:keepLines/>
              <w:spacing w:after="0" w:line="240" w:lineRule="auto"/>
            </w:pPr>
            <w:r>
              <w:rPr>
                <w:sz w:val="18"/>
              </w:rPr>
              <w:t>3721</w:t>
            </w:r>
          </w:p>
        </w:tc>
        <w:tc>
          <w:tcPr>
            <w:tcW w:w="1860" w:type="dxa"/>
            <w:tcMar>
              <w:top w:w="0" w:type="dxa"/>
              <w:bottom w:w="0" w:type="dxa"/>
            </w:tcMar>
            <w:vAlign w:val="center"/>
          </w:tcPr>
          <w:p w14:paraId="6C61BD7E" w14:textId="77777777" w:rsidR="00E22566" w:rsidRDefault="00000000">
            <w:pPr>
              <w:keepNext/>
              <w:keepLines/>
              <w:spacing w:after="0" w:line="240" w:lineRule="auto"/>
              <w:jc w:val="right"/>
            </w:pPr>
            <w:r>
              <w:rPr>
                <w:sz w:val="18"/>
              </w:rPr>
              <w:t>501,03</w:t>
            </w:r>
          </w:p>
        </w:tc>
        <w:tc>
          <w:tcPr>
            <w:tcW w:w="1860" w:type="dxa"/>
            <w:tcMar>
              <w:top w:w="0" w:type="dxa"/>
              <w:bottom w:w="0" w:type="dxa"/>
            </w:tcMar>
            <w:vAlign w:val="center"/>
          </w:tcPr>
          <w:p w14:paraId="7CAF711F" w14:textId="77777777" w:rsidR="00E22566" w:rsidRDefault="00000000">
            <w:pPr>
              <w:keepNext/>
              <w:keepLines/>
              <w:spacing w:after="0" w:line="240" w:lineRule="auto"/>
              <w:jc w:val="right"/>
            </w:pPr>
            <w:r>
              <w:rPr>
                <w:sz w:val="18"/>
              </w:rPr>
              <w:t>337,50</w:t>
            </w:r>
          </w:p>
        </w:tc>
        <w:tc>
          <w:tcPr>
            <w:tcW w:w="700" w:type="dxa"/>
            <w:tcMar>
              <w:top w:w="0" w:type="dxa"/>
              <w:bottom w:w="0" w:type="dxa"/>
            </w:tcMar>
            <w:vAlign w:val="center"/>
          </w:tcPr>
          <w:p w14:paraId="7193B742" w14:textId="77777777" w:rsidR="00E22566" w:rsidRDefault="00000000">
            <w:pPr>
              <w:keepNext/>
              <w:keepLines/>
              <w:spacing w:after="0" w:line="240" w:lineRule="auto"/>
              <w:jc w:val="right"/>
            </w:pPr>
            <w:r>
              <w:rPr>
                <w:sz w:val="18"/>
              </w:rPr>
              <w:t>67,4</w:t>
            </w:r>
          </w:p>
        </w:tc>
      </w:tr>
    </w:tbl>
    <w:p w14:paraId="18F3E042" w14:textId="77777777" w:rsidR="00E22566" w:rsidRDefault="00E22566">
      <w:pPr>
        <w:spacing w:after="0"/>
      </w:pPr>
    </w:p>
    <w:p w14:paraId="5EEF06A9" w14:textId="77777777" w:rsidR="00E22566" w:rsidRDefault="00000000">
      <w:pPr>
        <w:jc w:val="both"/>
      </w:pPr>
      <w:r>
        <w:t>Račun 3721 Ostale naknade građanima i kućanstvima iz proračuna iznosi 337,50 EUR i smanjene su u odnosu na isto izvještajno razdoblje prethodne godine iz razloga što je u 2025. godini manje korisnika kojima se isplaćivao pripadajući zakonski džeparac.</w:t>
      </w:r>
    </w:p>
    <w:p w14:paraId="12DF7490" w14:textId="77777777" w:rsidR="00E22566" w:rsidRDefault="00E22566"/>
    <w:p w14:paraId="218772C2" w14:textId="77777777" w:rsidR="00E22566"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68012C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4A4A07"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06C84F"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3F4967"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EFD1EE"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556550"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1C7D57" w14:textId="77777777" w:rsidR="00E22566" w:rsidRDefault="00000000">
            <w:pPr>
              <w:keepNext/>
              <w:keepLines/>
              <w:spacing w:after="0" w:line="240" w:lineRule="auto"/>
              <w:jc w:val="center"/>
            </w:pPr>
            <w:r>
              <w:rPr>
                <w:b/>
                <w:sz w:val="18"/>
              </w:rPr>
              <w:t>Indeks (%)</w:t>
            </w:r>
          </w:p>
        </w:tc>
      </w:tr>
      <w:tr w:rsidR="00E22566" w14:paraId="0E64339E" w14:textId="77777777">
        <w:tblPrEx>
          <w:tblCellMar>
            <w:top w:w="0" w:type="dxa"/>
            <w:bottom w:w="0" w:type="dxa"/>
          </w:tblCellMar>
        </w:tblPrEx>
        <w:trPr>
          <w:cantSplit/>
          <w:trHeight w:val="560"/>
        </w:trPr>
        <w:tc>
          <w:tcPr>
            <w:tcW w:w="700" w:type="dxa"/>
            <w:tcMar>
              <w:top w:w="0" w:type="dxa"/>
              <w:bottom w:w="0" w:type="dxa"/>
            </w:tcMar>
            <w:vAlign w:val="center"/>
          </w:tcPr>
          <w:p w14:paraId="102179AA" w14:textId="77777777" w:rsidR="00E22566" w:rsidRDefault="00000000">
            <w:pPr>
              <w:keepNext/>
              <w:keepLines/>
              <w:spacing w:after="0" w:line="240" w:lineRule="auto"/>
            </w:pPr>
            <w:r>
              <w:rPr>
                <w:sz w:val="18"/>
              </w:rPr>
              <w:t>7224</w:t>
            </w:r>
          </w:p>
        </w:tc>
        <w:tc>
          <w:tcPr>
            <w:tcW w:w="3180" w:type="dxa"/>
            <w:tcMar>
              <w:top w:w="0" w:type="dxa"/>
              <w:bottom w:w="0" w:type="dxa"/>
            </w:tcMar>
            <w:vAlign w:val="center"/>
          </w:tcPr>
          <w:p w14:paraId="6F452E85" w14:textId="77777777" w:rsidR="00E22566" w:rsidRDefault="00000000">
            <w:pPr>
              <w:keepNext/>
              <w:keepLines/>
              <w:spacing w:after="0" w:line="240" w:lineRule="auto"/>
            </w:pPr>
            <w:r>
              <w:rPr>
                <w:sz w:val="18"/>
              </w:rPr>
              <w:t>Medicinska i laboratorijska oprema</w:t>
            </w:r>
          </w:p>
        </w:tc>
        <w:tc>
          <w:tcPr>
            <w:tcW w:w="700" w:type="dxa"/>
            <w:tcMar>
              <w:top w:w="0" w:type="dxa"/>
              <w:bottom w:w="0" w:type="dxa"/>
            </w:tcMar>
            <w:vAlign w:val="center"/>
          </w:tcPr>
          <w:p w14:paraId="4C169442" w14:textId="77777777" w:rsidR="00E22566" w:rsidRDefault="00000000">
            <w:pPr>
              <w:keepNext/>
              <w:keepLines/>
              <w:spacing w:after="0" w:line="240" w:lineRule="auto"/>
            </w:pPr>
            <w:r>
              <w:rPr>
                <w:sz w:val="18"/>
              </w:rPr>
              <w:t>7224</w:t>
            </w:r>
          </w:p>
        </w:tc>
        <w:tc>
          <w:tcPr>
            <w:tcW w:w="1860" w:type="dxa"/>
            <w:tcMar>
              <w:top w:w="0" w:type="dxa"/>
              <w:bottom w:w="0" w:type="dxa"/>
            </w:tcMar>
            <w:vAlign w:val="center"/>
          </w:tcPr>
          <w:p w14:paraId="19429034" w14:textId="77777777" w:rsidR="00E22566" w:rsidRDefault="00000000">
            <w:pPr>
              <w:keepNext/>
              <w:keepLines/>
              <w:spacing w:after="0" w:line="240" w:lineRule="auto"/>
              <w:jc w:val="right"/>
            </w:pPr>
            <w:r>
              <w:rPr>
                <w:sz w:val="18"/>
              </w:rPr>
              <w:t>244,40</w:t>
            </w:r>
          </w:p>
        </w:tc>
        <w:tc>
          <w:tcPr>
            <w:tcW w:w="1860" w:type="dxa"/>
            <w:tcMar>
              <w:top w:w="0" w:type="dxa"/>
              <w:bottom w:w="0" w:type="dxa"/>
            </w:tcMar>
            <w:vAlign w:val="center"/>
          </w:tcPr>
          <w:p w14:paraId="29A2E7C5" w14:textId="77777777" w:rsidR="00E22566" w:rsidRDefault="00000000">
            <w:pPr>
              <w:keepNext/>
              <w:keepLines/>
              <w:spacing w:after="0" w:line="240" w:lineRule="auto"/>
              <w:jc w:val="right"/>
            </w:pPr>
            <w:r>
              <w:rPr>
                <w:sz w:val="18"/>
              </w:rPr>
              <w:t>167,20</w:t>
            </w:r>
          </w:p>
        </w:tc>
        <w:tc>
          <w:tcPr>
            <w:tcW w:w="700" w:type="dxa"/>
            <w:tcMar>
              <w:top w:w="0" w:type="dxa"/>
              <w:bottom w:w="0" w:type="dxa"/>
            </w:tcMar>
            <w:vAlign w:val="center"/>
          </w:tcPr>
          <w:p w14:paraId="69A231FA" w14:textId="77777777" w:rsidR="00E22566" w:rsidRDefault="00000000">
            <w:pPr>
              <w:keepNext/>
              <w:keepLines/>
              <w:spacing w:after="0" w:line="240" w:lineRule="auto"/>
              <w:jc w:val="right"/>
            </w:pPr>
            <w:r>
              <w:rPr>
                <w:sz w:val="18"/>
              </w:rPr>
              <w:t>68,4</w:t>
            </w:r>
          </w:p>
        </w:tc>
      </w:tr>
    </w:tbl>
    <w:p w14:paraId="351CE82D" w14:textId="77777777" w:rsidR="00E22566" w:rsidRDefault="00E22566">
      <w:pPr>
        <w:spacing w:after="0"/>
      </w:pPr>
    </w:p>
    <w:p w14:paraId="3103CD88" w14:textId="77777777" w:rsidR="00E22566" w:rsidRDefault="00000000">
      <w:pPr>
        <w:jc w:val="both"/>
      </w:pPr>
      <w:r>
        <w:lastRenderedPageBreak/>
        <w:t>Konto 7224 Medicinska i laboratorijska oprema iznosi 167,20 i  odnosi se na prodanu nefinancijsku imovinu tj. prodaju otpadnog lima od starih medicinskih kreveta koji se više ne koriste firmi Spinot d.o.o.</w:t>
      </w:r>
    </w:p>
    <w:p w14:paraId="79F0A34F" w14:textId="77777777" w:rsidR="00E22566" w:rsidRDefault="00000000">
      <w:r>
        <w:t> </w:t>
      </w:r>
    </w:p>
    <w:p w14:paraId="1FB603CA" w14:textId="77777777" w:rsidR="00E22566" w:rsidRDefault="00E22566"/>
    <w:p w14:paraId="24BC1A0D" w14:textId="77777777" w:rsidR="00E22566"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70963B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402B01"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BEADBD"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1C067A"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312F7D"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F7BEF5"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6569BC" w14:textId="77777777" w:rsidR="00E22566" w:rsidRDefault="00000000">
            <w:pPr>
              <w:keepNext/>
              <w:keepLines/>
              <w:spacing w:after="0" w:line="240" w:lineRule="auto"/>
              <w:jc w:val="center"/>
            </w:pPr>
            <w:r>
              <w:rPr>
                <w:b/>
                <w:sz w:val="18"/>
              </w:rPr>
              <w:t>Indeks (%)</w:t>
            </w:r>
          </w:p>
        </w:tc>
      </w:tr>
      <w:tr w:rsidR="00E22566" w14:paraId="49880CA5" w14:textId="77777777">
        <w:tblPrEx>
          <w:tblCellMar>
            <w:top w:w="0" w:type="dxa"/>
            <w:bottom w:w="0" w:type="dxa"/>
          </w:tblCellMar>
        </w:tblPrEx>
        <w:trPr>
          <w:cantSplit/>
          <w:trHeight w:val="560"/>
        </w:trPr>
        <w:tc>
          <w:tcPr>
            <w:tcW w:w="700" w:type="dxa"/>
            <w:tcMar>
              <w:top w:w="0" w:type="dxa"/>
              <w:bottom w:w="0" w:type="dxa"/>
            </w:tcMar>
            <w:vAlign w:val="center"/>
          </w:tcPr>
          <w:p w14:paraId="4E88724A" w14:textId="77777777" w:rsidR="00E22566" w:rsidRDefault="00000000">
            <w:pPr>
              <w:keepNext/>
              <w:keepLines/>
              <w:spacing w:after="0" w:line="240" w:lineRule="auto"/>
            </w:pPr>
            <w:r>
              <w:rPr>
                <w:sz w:val="18"/>
              </w:rPr>
              <w:t>4124</w:t>
            </w:r>
          </w:p>
        </w:tc>
        <w:tc>
          <w:tcPr>
            <w:tcW w:w="3180" w:type="dxa"/>
            <w:tcMar>
              <w:top w:w="0" w:type="dxa"/>
              <w:bottom w:w="0" w:type="dxa"/>
            </w:tcMar>
            <w:vAlign w:val="center"/>
          </w:tcPr>
          <w:p w14:paraId="639553D4" w14:textId="77777777" w:rsidR="00E22566" w:rsidRDefault="00000000">
            <w:pPr>
              <w:keepNext/>
              <w:keepLines/>
              <w:spacing w:after="0" w:line="240" w:lineRule="auto"/>
            </w:pPr>
            <w:r>
              <w:rPr>
                <w:sz w:val="18"/>
              </w:rPr>
              <w:t>Ostala prava</w:t>
            </w:r>
          </w:p>
        </w:tc>
        <w:tc>
          <w:tcPr>
            <w:tcW w:w="700" w:type="dxa"/>
            <w:tcMar>
              <w:top w:w="0" w:type="dxa"/>
              <w:bottom w:w="0" w:type="dxa"/>
            </w:tcMar>
            <w:vAlign w:val="center"/>
          </w:tcPr>
          <w:p w14:paraId="72BDC8C6" w14:textId="77777777" w:rsidR="00E22566" w:rsidRDefault="00000000">
            <w:pPr>
              <w:keepNext/>
              <w:keepLines/>
              <w:spacing w:after="0" w:line="240" w:lineRule="auto"/>
            </w:pPr>
            <w:r>
              <w:rPr>
                <w:sz w:val="18"/>
              </w:rPr>
              <w:t>4124</w:t>
            </w:r>
          </w:p>
        </w:tc>
        <w:tc>
          <w:tcPr>
            <w:tcW w:w="1860" w:type="dxa"/>
            <w:tcMar>
              <w:top w:w="0" w:type="dxa"/>
              <w:bottom w:w="0" w:type="dxa"/>
            </w:tcMar>
            <w:vAlign w:val="center"/>
          </w:tcPr>
          <w:p w14:paraId="75CC4F2F" w14:textId="77777777" w:rsidR="00E22566" w:rsidRDefault="00000000">
            <w:pPr>
              <w:keepNext/>
              <w:keepLines/>
              <w:spacing w:after="0" w:line="240" w:lineRule="auto"/>
              <w:jc w:val="right"/>
            </w:pPr>
            <w:r>
              <w:rPr>
                <w:sz w:val="18"/>
              </w:rPr>
              <w:t>0,00</w:t>
            </w:r>
          </w:p>
        </w:tc>
        <w:tc>
          <w:tcPr>
            <w:tcW w:w="1860" w:type="dxa"/>
            <w:tcMar>
              <w:top w:w="0" w:type="dxa"/>
              <w:bottom w:w="0" w:type="dxa"/>
            </w:tcMar>
            <w:vAlign w:val="center"/>
          </w:tcPr>
          <w:p w14:paraId="3A06B6A2" w14:textId="77777777" w:rsidR="00E22566" w:rsidRDefault="00000000">
            <w:pPr>
              <w:keepNext/>
              <w:keepLines/>
              <w:spacing w:after="0" w:line="240" w:lineRule="auto"/>
              <w:jc w:val="right"/>
            </w:pPr>
            <w:r>
              <w:rPr>
                <w:sz w:val="18"/>
              </w:rPr>
              <w:t>64.898,88</w:t>
            </w:r>
          </w:p>
        </w:tc>
        <w:tc>
          <w:tcPr>
            <w:tcW w:w="700" w:type="dxa"/>
            <w:tcMar>
              <w:top w:w="0" w:type="dxa"/>
              <w:bottom w:w="0" w:type="dxa"/>
            </w:tcMar>
            <w:vAlign w:val="center"/>
          </w:tcPr>
          <w:p w14:paraId="2E9948BB" w14:textId="77777777" w:rsidR="00E22566" w:rsidRDefault="00000000">
            <w:pPr>
              <w:keepNext/>
              <w:keepLines/>
              <w:spacing w:after="0" w:line="240" w:lineRule="auto"/>
              <w:jc w:val="right"/>
            </w:pPr>
            <w:r>
              <w:rPr>
                <w:sz w:val="18"/>
              </w:rPr>
              <w:t>-</w:t>
            </w:r>
          </w:p>
        </w:tc>
      </w:tr>
    </w:tbl>
    <w:p w14:paraId="0359E033" w14:textId="77777777" w:rsidR="00E22566" w:rsidRDefault="00E22566">
      <w:pPr>
        <w:spacing w:after="0"/>
      </w:pPr>
    </w:p>
    <w:p w14:paraId="29FAB83B" w14:textId="77777777" w:rsidR="00E22566" w:rsidRDefault="00000000">
      <w:pPr>
        <w:jc w:val="both"/>
      </w:pPr>
      <w:r>
        <w:t>Konto 4124 Ostala prava je ostvaren u iznosu od 64.898,88 i odnosi se na radove ugradnje vatrodojavnog sustava na stambenom dijelu Doma za starije i nemoćne osobe Požega, a kao ulaganje u tuđu imovinu radi prava korištenja, budući da je zgrada Doma za starije i nemoćne osobe u vlasništvu Požeško-slavonske županije tj. osnivača Doma za starije i nemoćne osobe Požega.</w:t>
      </w:r>
    </w:p>
    <w:p w14:paraId="127A6FA6" w14:textId="77777777" w:rsidR="00E22566" w:rsidRDefault="00E22566"/>
    <w:p w14:paraId="7E1A0054" w14:textId="77777777" w:rsidR="00E22566"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67280D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8B8C3A"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8F74B2"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7CB286"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D97AD9"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4AAB34"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96B199" w14:textId="77777777" w:rsidR="00E22566" w:rsidRDefault="00000000">
            <w:pPr>
              <w:keepNext/>
              <w:keepLines/>
              <w:spacing w:after="0" w:line="240" w:lineRule="auto"/>
              <w:jc w:val="center"/>
            </w:pPr>
            <w:r>
              <w:rPr>
                <w:b/>
                <w:sz w:val="18"/>
              </w:rPr>
              <w:t>Indeks (%)</w:t>
            </w:r>
          </w:p>
        </w:tc>
      </w:tr>
      <w:tr w:rsidR="00E22566" w14:paraId="2E336A1B" w14:textId="77777777">
        <w:tblPrEx>
          <w:tblCellMar>
            <w:top w:w="0" w:type="dxa"/>
            <w:bottom w:w="0" w:type="dxa"/>
          </w:tblCellMar>
        </w:tblPrEx>
        <w:trPr>
          <w:cantSplit/>
          <w:trHeight w:val="560"/>
        </w:trPr>
        <w:tc>
          <w:tcPr>
            <w:tcW w:w="700" w:type="dxa"/>
            <w:tcMar>
              <w:top w:w="0" w:type="dxa"/>
              <w:bottom w:w="0" w:type="dxa"/>
            </w:tcMar>
            <w:vAlign w:val="center"/>
          </w:tcPr>
          <w:p w14:paraId="06AA3029" w14:textId="77777777" w:rsidR="00E22566" w:rsidRDefault="00000000">
            <w:pPr>
              <w:keepNext/>
              <w:keepLines/>
              <w:spacing w:after="0" w:line="240" w:lineRule="auto"/>
            </w:pPr>
            <w:r>
              <w:rPr>
                <w:sz w:val="18"/>
              </w:rPr>
              <w:t>4223</w:t>
            </w:r>
          </w:p>
        </w:tc>
        <w:tc>
          <w:tcPr>
            <w:tcW w:w="3180" w:type="dxa"/>
            <w:tcMar>
              <w:top w:w="0" w:type="dxa"/>
              <w:bottom w:w="0" w:type="dxa"/>
            </w:tcMar>
            <w:vAlign w:val="center"/>
          </w:tcPr>
          <w:p w14:paraId="4A06552F" w14:textId="77777777" w:rsidR="00E22566"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6FFEC011" w14:textId="77777777" w:rsidR="00E22566" w:rsidRDefault="00000000">
            <w:pPr>
              <w:keepNext/>
              <w:keepLines/>
              <w:spacing w:after="0" w:line="240" w:lineRule="auto"/>
            </w:pPr>
            <w:r>
              <w:rPr>
                <w:sz w:val="18"/>
              </w:rPr>
              <w:t>4223</w:t>
            </w:r>
          </w:p>
        </w:tc>
        <w:tc>
          <w:tcPr>
            <w:tcW w:w="1860" w:type="dxa"/>
            <w:tcMar>
              <w:top w:w="0" w:type="dxa"/>
              <w:bottom w:w="0" w:type="dxa"/>
            </w:tcMar>
            <w:vAlign w:val="center"/>
          </w:tcPr>
          <w:p w14:paraId="1B1B3DC5" w14:textId="77777777" w:rsidR="00E22566" w:rsidRDefault="00000000">
            <w:pPr>
              <w:keepNext/>
              <w:keepLines/>
              <w:spacing w:after="0" w:line="240" w:lineRule="auto"/>
              <w:jc w:val="right"/>
            </w:pPr>
            <w:r>
              <w:rPr>
                <w:sz w:val="18"/>
              </w:rPr>
              <w:t>0,00</w:t>
            </w:r>
          </w:p>
        </w:tc>
        <w:tc>
          <w:tcPr>
            <w:tcW w:w="1860" w:type="dxa"/>
            <w:tcMar>
              <w:top w:w="0" w:type="dxa"/>
              <w:bottom w:w="0" w:type="dxa"/>
            </w:tcMar>
            <w:vAlign w:val="center"/>
          </w:tcPr>
          <w:p w14:paraId="7F1D7020" w14:textId="77777777" w:rsidR="00E22566" w:rsidRDefault="00000000">
            <w:pPr>
              <w:keepNext/>
              <w:keepLines/>
              <w:spacing w:after="0" w:line="240" w:lineRule="auto"/>
              <w:jc w:val="right"/>
            </w:pPr>
            <w:r>
              <w:rPr>
                <w:sz w:val="18"/>
              </w:rPr>
              <w:t>17.973,02</w:t>
            </w:r>
          </w:p>
        </w:tc>
        <w:tc>
          <w:tcPr>
            <w:tcW w:w="700" w:type="dxa"/>
            <w:tcMar>
              <w:top w:w="0" w:type="dxa"/>
              <w:bottom w:w="0" w:type="dxa"/>
            </w:tcMar>
            <w:vAlign w:val="center"/>
          </w:tcPr>
          <w:p w14:paraId="2763795B" w14:textId="77777777" w:rsidR="00E22566" w:rsidRDefault="00000000">
            <w:pPr>
              <w:keepNext/>
              <w:keepLines/>
              <w:spacing w:after="0" w:line="240" w:lineRule="auto"/>
              <w:jc w:val="right"/>
            </w:pPr>
            <w:r>
              <w:rPr>
                <w:sz w:val="18"/>
              </w:rPr>
              <w:t>-</w:t>
            </w:r>
          </w:p>
        </w:tc>
      </w:tr>
    </w:tbl>
    <w:p w14:paraId="057A63AE" w14:textId="77777777" w:rsidR="00E22566" w:rsidRDefault="00E22566">
      <w:pPr>
        <w:spacing w:after="0"/>
      </w:pPr>
    </w:p>
    <w:p w14:paraId="434EC3D5" w14:textId="77777777" w:rsidR="00E22566" w:rsidRDefault="00000000">
      <w:pPr>
        <w:jc w:val="both"/>
      </w:pPr>
      <w:r>
        <w:t>Konto 4223 Oprema za održavanje i zaštitu ostvaren je u iznosu od 17.973,02 EUR, a odnosi se na nabavljene nove klime (15 unutarnjih jedinica i 3 vanjske jedinice klime) za stacionar Doma za starije i nemoćne osobe Požega.</w:t>
      </w:r>
    </w:p>
    <w:p w14:paraId="3FBB9001" w14:textId="77777777" w:rsidR="00E22566" w:rsidRDefault="00E22566"/>
    <w:p w14:paraId="19905719" w14:textId="77777777" w:rsidR="00E22566"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632EB2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6A20AA"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73F7A4"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F03F45"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B81B19"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F4708A"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8E2BAF" w14:textId="77777777" w:rsidR="00E22566" w:rsidRDefault="00000000">
            <w:pPr>
              <w:keepNext/>
              <w:keepLines/>
              <w:spacing w:after="0" w:line="240" w:lineRule="auto"/>
              <w:jc w:val="center"/>
            </w:pPr>
            <w:r>
              <w:rPr>
                <w:b/>
                <w:sz w:val="18"/>
              </w:rPr>
              <w:t>Indeks (%)</w:t>
            </w:r>
          </w:p>
        </w:tc>
      </w:tr>
      <w:tr w:rsidR="00E22566" w14:paraId="4D102961" w14:textId="77777777">
        <w:tblPrEx>
          <w:tblCellMar>
            <w:top w:w="0" w:type="dxa"/>
            <w:bottom w:w="0" w:type="dxa"/>
          </w:tblCellMar>
        </w:tblPrEx>
        <w:trPr>
          <w:cantSplit/>
          <w:trHeight w:val="560"/>
        </w:trPr>
        <w:tc>
          <w:tcPr>
            <w:tcW w:w="700" w:type="dxa"/>
            <w:tcMar>
              <w:top w:w="0" w:type="dxa"/>
              <w:bottom w:w="0" w:type="dxa"/>
            </w:tcMar>
            <w:vAlign w:val="center"/>
          </w:tcPr>
          <w:p w14:paraId="117C7E50" w14:textId="77777777" w:rsidR="00E22566" w:rsidRDefault="00000000">
            <w:pPr>
              <w:keepNext/>
              <w:keepLines/>
              <w:spacing w:after="0" w:line="240" w:lineRule="auto"/>
            </w:pPr>
            <w:r>
              <w:rPr>
                <w:sz w:val="18"/>
              </w:rPr>
              <w:t>4224</w:t>
            </w:r>
          </w:p>
        </w:tc>
        <w:tc>
          <w:tcPr>
            <w:tcW w:w="3180" w:type="dxa"/>
            <w:tcMar>
              <w:top w:w="0" w:type="dxa"/>
              <w:bottom w:w="0" w:type="dxa"/>
            </w:tcMar>
            <w:vAlign w:val="center"/>
          </w:tcPr>
          <w:p w14:paraId="70067A35" w14:textId="77777777" w:rsidR="00E22566" w:rsidRDefault="00000000">
            <w:pPr>
              <w:keepNext/>
              <w:keepLines/>
              <w:spacing w:after="0" w:line="240" w:lineRule="auto"/>
            </w:pPr>
            <w:r>
              <w:rPr>
                <w:sz w:val="18"/>
              </w:rPr>
              <w:t>Medicinska i laboratorijska oprema</w:t>
            </w:r>
          </w:p>
        </w:tc>
        <w:tc>
          <w:tcPr>
            <w:tcW w:w="700" w:type="dxa"/>
            <w:tcMar>
              <w:top w:w="0" w:type="dxa"/>
              <w:bottom w:w="0" w:type="dxa"/>
            </w:tcMar>
            <w:vAlign w:val="center"/>
          </w:tcPr>
          <w:p w14:paraId="438B3778" w14:textId="77777777" w:rsidR="00E22566" w:rsidRDefault="00000000">
            <w:pPr>
              <w:keepNext/>
              <w:keepLines/>
              <w:spacing w:after="0" w:line="240" w:lineRule="auto"/>
            </w:pPr>
            <w:r>
              <w:rPr>
                <w:sz w:val="18"/>
              </w:rPr>
              <w:t>4224</w:t>
            </w:r>
          </w:p>
        </w:tc>
        <w:tc>
          <w:tcPr>
            <w:tcW w:w="1860" w:type="dxa"/>
            <w:tcMar>
              <w:top w:w="0" w:type="dxa"/>
              <w:bottom w:w="0" w:type="dxa"/>
            </w:tcMar>
            <w:vAlign w:val="center"/>
          </w:tcPr>
          <w:p w14:paraId="4EDBC5F1" w14:textId="77777777" w:rsidR="00E22566" w:rsidRDefault="00000000">
            <w:pPr>
              <w:keepNext/>
              <w:keepLines/>
              <w:spacing w:after="0" w:line="240" w:lineRule="auto"/>
              <w:jc w:val="right"/>
            </w:pPr>
            <w:r>
              <w:rPr>
                <w:sz w:val="18"/>
              </w:rPr>
              <w:t>7.838,88</w:t>
            </w:r>
          </w:p>
        </w:tc>
        <w:tc>
          <w:tcPr>
            <w:tcW w:w="1860" w:type="dxa"/>
            <w:tcMar>
              <w:top w:w="0" w:type="dxa"/>
              <w:bottom w:w="0" w:type="dxa"/>
            </w:tcMar>
            <w:vAlign w:val="center"/>
          </w:tcPr>
          <w:p w14:paraId="6045961A" w14:textId="77777777" w:rsidR="00E22566" w:rsidRDefault="00000000">
            <w:pPr>
              <w:keepNext/>
              <w:keepLines/>
              <w:spacing w:after="0" w:line="240" w:lineRule="auto"/>
              <w:jc w:val="right"/>
            </w:pPr>
            <w:r>
              <w:rPr>
                <w:sz w:val="18"/>
              </w:rPr>
              <w:t>12.049,10</w:t>
            </w:r>
          </w:p>
        </w:tc>
        <w:tc>
          <w:tcPr>
            <w:tcW w:w="700" w:type="dxa"/>
            <w:tcMar>
              <w:top w:w="0" w:type="dxa"/>
              <w:bottom w:w="0" w:type="dxa"/>
            </w:tcMar>
            <w:vAlign w:val="center"/>
          </w:tcPr>
          <w:p w14:paraId="689C3E55" w14:textId="77777777" w:rsidR="00E22566" w:rsidRDefault="00000000">
            <w:pPr>
              <w:keepNext/>
              <w:keepLines/>
              <w:spacing w:after="0" w:line="240" w:lineRule="auto"/>
              <w:jc w:val="right"/>
            </w:pPr>
            <w:r>
              <w:rPr>
                <w:sz w:val="18"/>
              </w:rPr>
              <w:t>153,7</w:t>
            </w:r>
          </w:p>
        </w:tc>
      </w:tr>
    </w:tbl>
    <w:p w14:paraId="00105AAA" w14:textId="77777777" w:rsidR="00E22566" w:rsidRDefault="00E22566">
      <w:pPr>
        <w:spacing w:after="0"/>
      </w:pPr>
    </w:p>
    <w:p w14:paraId="0E72D8DE" w14:textId="77777777" w:rsidR="00E22566" w:rsidRDefault="00000000">
      <w:pPr>
        <w:jc w:val="both"/>
      </w:pPr>
      <w:r>
        <w:t>Konto 4224 Medicinska i laboratorijska oprema ostvaren je u iznosu od 12.049,10 EUR, a odnosi se na nabavljenih novih 10 kom medicinskih kreveta i 33 medicinskih stolića za hranjenje korisnika. U istom izvještajnom razdoblju prethodne godine nabavljeno je samo 10 kom medicinskih kreveta, a budući da su u promatranom izvještajnom razdoblju nabavljani i medicinski kreveti i medicinski stolići za hranjenje ostvareno je povećanje navedenog konta za 53,7%.</w:t>
      </w:r>
    </w:p>
    <w:p w14:paraId="66F67D76" w14:textId="77777777" w:rsidR="00E22566" w:rsidRDefault="00E22566"/>
    <w:p w14:paraId="193803EF" w14:textId="77777777" w:rsidR="00E22566"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1A7DBB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FBB6F4"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A65AED"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FAF6FC"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E206ED"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3082B8"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13B7C5" w14:textId="77777777" w:rsidR="00E22566" w:rsidRDefault="00000000">
            <w:pPr>
              <w:keepNext/>
              <w:keepLines/>
              <w:spacing w:after="0" w:line="240" w:lineRule="auto"/>
              <w:jc w:val="center"/>
            </w:pPr>
            <w:r>
              <w:rPr>
                <w:b/>
                <w:sz w:val="18"/>
              </w:rPr>
              <w:t>Indeks (%)</w:t>
            </w:r>
          </w:p>
        </w:tc>
      </w:tr>
      <w:tr w:rsidR="00E22566" w14:paraId="4C9DEA63" w14:textId="77777777">
        <w:tblPrEx>
          <w:tblCellMar>
            <w:top w:w="0" w:type="dxa"/>
            <w:bottom w:w="0" w:type="dxa"/>
          </w:tblCellMar>
        </w:tblPrEx>
        <w:trPr>
          <w:cantSplit/>
          <w:trHeight w:val="560"/>
        </w:trPr>
        <w:tc>
          <w:tcPr>
            <w:tcW w:w="700" w:type="dxa"/>
            <w:tcMar>
              <w:top w:w="0" w:type="dxa"/>
              <w:bottom w:w="0" w:type="dxa"/>
            </w:tcMar>
            <w:vAlign w:val="center"/>
          </w:tcPr>
          <w:p w14:paraId="6498EE58" w14:textId="77777777" w:rsidR="00E22566" w:rsidRDefault="00000000">
            <w:pPr>
              <w:keepNext/>
              <w:keepLines/>
              <w:spacing w:after="0" w:line="240" w:lineRule="auto"/>
            </w:pPr>
            <w:r>
              <w:rPr>
                <w:sz w:val="18"/>
              </w:rPr>
              <w:t>4227</w:t>
            </w:r>
          </w:p>
        </w:tc>
        <w:tc>
          <w:tcPr>
            <w:tcW w:w="3180" w:type="dxa"/>
            <w:tcMar>
              <w:top w:w="0" w:type="dxa"/>
              <w:bottom w:w="0" w:type="dxa"/>
            </w:tcMar>
            <w:vAlign w:val="center"/>
          </w:tcPr>
          <w:p w14:paraId="59FCA33F" w14:textId="77777777" w:rsidR="00E22566"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4C0F9CB3" w14:textId="77777777" w:rsidR="00E22566" w:rsidRDefault="00000000">
            <w:pPr>
              <w:keepNext/>
              <w:keepLines/>
              <w:spacing w:after="0" w:line="240" w:lineRule="auto"/>
            </w:pPr>
            <w:r>
              <w:rPr>
                <w:sz w:val="18"/>
              </w:rPr>
              <w:t>4227</w:t>
            </w:r>
          </w:p>
        </w:tc>
        <w:tc>
          <w:tcPr>
            <w:tcW w:w="1860" w:type="dxa"/>
            <w:tcMar>
              <w:top w:w="0" w:type="dxa"/>
              <w:bottom w:w="0" w:type="dxa"/>
            </w:tcMar>
            <w:vAlign w:val="center"/>
          </w:tcPr>
          <w:p w14:paraId="0DFB5FB0" w14:textId="77777777" w:rsidR="00E22566" w:rsidRDefault="00000000">
            <w:pPr>
              <w:keepNext/>
              <w:keepLines/>
              <w:spacing w:after="0" w:line="240" w:lineRule="auto"/>
              <w:jc w:val="right"/>
            </w:pPr>
            <w:r>
              <w:rPr>
                <w:sz w:val="18"/>
              </w:rPr>
              <w:t>12.472,50</w:t>
            </w:r>
          </w:p>
        </w:tc>
        <w:tc>
          <w:tcPr>
            <w:tcW w:w="1860" w:type="dxa"/>
            <w:tcMar>
              <w:top w:w="0" w:type="dxa"/>
              <w:bottom w:w="0" w:type="dxa"/>
            </w:tcMar>
            <w:vAlign w:val="center"/>
          </w:tcPr>
          <w:p w14:paraId="7F92A28C" w14:textId="77777777" w:rsidR="00E22566" w:rsidRDefault="00000000">
            <w:pPr>
              <w:keepNext/>
              <w:keepLines/>
              <w:spacing w:after="0" w:line="240" w:lineRule="auto"/>
              <w:jc w:val="right"/>
            </w:pPr>
            <w:r>
              <w:rPr>
                <w:sz w:val="18"/>
              </w:rPr>
              <w:t>18.907,40</w:t>
            </w:r>
          </w:p>
        </w:tc>
        <w:tc>
          <w:tcPr>
            <w:tcW w:w="700" w:type="dxa"/>
            <w:tcMar>
              <w:top w:w="0" w:type="dxa"/>
              <w:bottom w:w="0" w:type="dxa"/>
            </w:tcMar>
            <w:vAlign w:val="center"/>
          </w:tcPr>
          <w:p w14:paraId="3772DD3B" w14:textId="77777777" w:rsidR="00E22566" w:rsidRDefault="00000000">
            <w:pPr>
              <w:keepNext/>
              <w:keepLines/>
              <w:spacing w:after="0" w:line="240" w:lineRule="auto"/>
              <w:jc w:val="right"/>
            </w:pPr>
            <w:r>
              <w:rPr>
                <w:sz w:val="18"/>
              </w:rPr>
              <w:t>151,6</w:t>
            </w:r>
          </w:p>
        </w:tc>
      </w:tr>
    </w:tbl>
    <w:p w14:paraId="6135BC84" w14:textId="77777777" w:rsidR="00E22566" w:rsidRDefault="00E22566">
      <w:pPr>
        <w:spacing w:after="0"/>
      </w:pPr>
    </w:p>
    <w:p w14:paraId="658E0B03" w14:textId="77777777" w:rsidR="00E22566" w:rsidRDefault="00000000">
      <w:pPr>
        <w:jc w:val="both"/>
      </w:pPr>
      <w:r>
        <w:t>Konto 4227 Uređaji i oprema ostvaren je u iznosu od 18.907,40 EUR i odnosi se na nabavljene 2 perilice rublja za praonicu (od čega je 1 profesionalna perilica rublja) i hladnjaka za potrebe kuhinje Doma za starije i nemoćne osobe Požega.</w:t>
      </w:r>
    </w:p>
    <w:p w14:paraId="154963FC" w14:textId="77777777" w:rsidR="00E22566" w:rsidRDefault="00000000">
      <w:r>
        <w:t> </w:t>
      </w:r>
    </w:p>
    <w:p w14:paraId="3B8D719F" w14:textId="77777777" w:rsidR="00E22566" w:rsidRDefault="00E22566"/>
    <w:p w14:paraId="3C4CA7A5" w14:textId="77777777" w:rsidR="00E22566"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42531C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C83856"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261B74"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F7ED4F"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57C412"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09AE3E"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6E7A34" w14:textId="77777777" w:rsidR="00E22566" w:rsidRDefault="00000000">
            <w:pPr>
              <w:keepNext/>
              <w:keepLines/>
              <w:spacing w:after="0" w:line="240" w:lineRule="auto"/>
              <w:jc w:val="center"/>
            </w:pPr>
            <w:r>
              <w:rPr>
                <w:b/>
                <w:sz w:val="18"/>
              </w:rPr>
              <w:t>Indeks (%)</w:t>
            </w:r>
          </w:p>
        </w:tc>
      </w:tr>
      <w:tr w:rsidR="00E22566" w14:paraId="2C259C19" w14:textId="77777777">
        <w:tblPrEx>
          <w:tblCellMar>
            <w:top w:w="0" w:type="dxa"/>
            <w:bottom w:w="0" w:type="dxa"/>
          </w:tblCellMar>
        </w:tblPrEx>
        <w:trPr>
          <w:cantSplit/>
          <w:trHeight w:val="560"/>
        </w:trPr>
        <w:tc>
          <w:tcPr>
            <w:tcW w:w="700" w:type="dxa"/>
            <w:tcMar>
              <w:top w:w="0" w:type="dxa"/>
              <w:bottom w:w="0" w:type="dxa"/>
            </w:tcMar>
            <w:vAlign w:val="center"/>
          </w:tcPr>
          <w:p w14:paraId="0978F481" w14:textId="77777777" w:rsidR="00E22566" w:rsidRDefault="00E22566">
            <w:pPr>
              <w:keepNext/>
              <w:keepLines/>
              <w:spacing w:after="0" w:line="240" w:lineRule="auto"/>
            </w:pPr>
          </w:p>
        </w:tc>
        <w:tc>
          <w:tcPr>
            <w:tcW w:w="3180" w:type="dxa"/>
            <w:tcMar>
              <w:top w:w="0" w:type="dxa"/>
              <w:bottom w:w="0" w:type="dxa"/>
            </w:tcMar>
            <w:vAlign w:val="center"/>
          </w:tcPr>
          <w:p w14:paraId="0048AD78" w14:textId="77777777" w:rsidR="00E22566"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7F337555" w14:textId="77777777" w:rsidR="00E22566" w:rsidRDefault="00000000">
            <w:pPr>
              <w:keepNext/>
              <w:keepLines/>
              <w:spacing w:after="0" w:line="240" w:lineRule="auto"/>
            </w:pPr>
            <w:r>
              <w:rPr>
                <w:sz w:val="18"/>
              </w:rPr>
              <w:t>Y006</w:t>
            </w:r>
          </w:p>
        </w:tc>
        <w:tc>
          <w:tcPr>
            <w:tcW w:w="1860" w:type="dxa"/>
            <w:tcMar>
              <w:top w:w="0" w:type="dxa"/>
              <w:bottom w:w="0" w:type="dxa"/>
            </w:tcMar>
            <w:vAlign w:val="center"/>
          </w:tcPr>
          <w:p w14:paraId="74294C8A" w14:textId="77777777" w:rsidR="00E22566" w:rsidRDefault="00000000">
            <w:pPr>
              <w:keepNext/>
              <w:keepLines/>
              <w:spacing w:after="0" w:line="240" w:lineRule="auto"/>
              <w:jc w:val="right"/>
            </w:pPr>
            <w:r>
              <w:rPr>
                <w:sz w:val="18"/>
              </w:rPr>
              <w:t>104.187,36</w:t>
            </w:r>
          </w:p>
        </w:tc>
        <w:tc>
          <w:tcPr>
            <w:tcW w:w="1860" w:type="dxa"/>
            <w:tcMar>
              <w:top w:w="0" w:type="dxa"/>
              <w:bottom w:w="0" w:type="dxa"/>
            </w:tcMar>
            <w:vAlign w:val="center"/>
          </w:tcPr>
          <w:p w14:paraId="6F6A52B9" w14:textId="77777777" w:rsidR="00E22566" w:rsidRDefault="00000000">
            <w:pPr>
              <w:keepNext/>
              <w:keepLines/>
              <w:spacing w:after="0" w:line="240" w:lineRule="auto"/>
              <w:jc w:val="right"/>
            </w:pPr>
            <w:r>
              <w:rPr>
                <w:sz w:val="18"/>
              </w:rPr>
              <w:t>113.991,67</w:t>
            </w:r>
          </w:p>
        </w:tc>
        <w:tc>
          <w:tcPr>
            <w:tcW w:w="700" w:type="dxa"/>
            <w:tcMar>
              <w:top w:w="0" w:type="dxa"/>
              <w:bottom w:w="0" w:type="dxa"/>
            </w:tcMar>
            <w:vAlign w:val="center"/>
          </w:tcPr>
          <w:p w14:paraId="5CF48881" w14:textId="77777777" w:rsidR="00E22566" w:rsidRDefault="00000000">
            <w:pPr>
              <w:keepNext/>
              <w:keepLines/>
              <w:spacing w:after="0" w:line="240" w:lineRule="auto"/>
              <w:jc w:val="right"/>
            </w:pPr>
            <w:r>
              <w:rPr>
                <w:sz w:val="18"/>
              </w:rPr>
              <w:t>109,4</w:t>
            </w:r>
          </w:p>
        </w:tc>
      </w:tr>
    </w:tbl>
    <w:p w14:paraId="39E23FC0" w14:textId="77777777" w:rsidR="00E22566" w:rsidRDefault="00E22566">
      <w:pPr>
        <w:spacing w:after="0"/>
      </w:pPr>
    </w:p>
    <w:p w14:paraId="37B48C55" w14:textId="77777777" w:rsidR="00E22566" w:rsidRDefault="00000000">
      <w:pPr>
        <w:jc w:val="both"/>
      </w:pPr>
      <w:r>
        <w:t>Razlika prihoda i rashoda tj. rezultat poslovanja je detaljno objašnjen u Bilješkama uz izvještaj BILANCA na dan 31.12.2025. godine. U 2025. godini manjak prihoda za pokriće u sljedećem razdoblju iznosi 113.991,67 EUR.</w:t>
      </w:r>
    </w:p>
    <w:p w14:paraId="24785BB8" w14:textId="77777777" w:rsidR="00E22566" w:rsidRDefault="00E22566"/>
    <w:p w14:paraId="38635638" w14:textId="77777777" w:rsidR="00E22566"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712C55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EF7AE8"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4B0AF1"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EFB8A2"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8B0D11"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814CCC"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6BFF41" w14:textId="77777777" w:rsidR="00E22566" w:rsidRDefault="00000000">
            <w:pPr>
              <w:keepNext/>
              <w:keepLines/>
              <w:spacing w:after="0" w:line="240" w:lineRule="auto"/>
              <w:jc w:val="center"/>
            </w:pPr>
            <w:r>
              <w:rPr>
                <w:b/>
                <w:sz w:val="18"/>
              </w:rPr>
              <w:t>Indeks (%)</w:t>
            </w:r>
          </w:p>
        </w:tc>
      </w:tr>
      <w:tr w:rsidR="00E22566" w14:paraId="68C0587F" w14:textId="77777777">
        <w:tblPrEx>
          <w:tblCellMar>
            <w:top w:w="0" w:type="dxa"/>
            <w:bottom w:w="0" w:type="dxa"/>
          </w:tblCellMar>
        </w:tblPrEx>
        <w:trPr>
          <w:cantSplit/>
          <w:trHeight w:val="560"/>
        </w:trPr>
        <w:tc>
          <w:tcPr>
            <w:tcW w:w="700" w:type="dxa"/>
            <w:tcMar>
              <w:top w:w="0" w:type="dxa"/>
              <w:bottom w:w="0" w:type="dxa"/>
            </w:tcMar>
            <w:vAlign w:val="center"/>
          </w:tcPr>
          <w:p w14:paraId="4CEA3659" w14:textId="77777777" w:rsidR="00E22566" w:rsidRDefault="00000000">
            <w:pPr>
              <w:keepNext/>
              <w:keepLines/>
              <w:spacing w:after="0" w:line="240" w:lineRule="auto"/>
            </w:pPr>
            <w:r>
              <w:rPr>
                <w:sz w:val="18"/>
              </w:rPr>
              <w:t>11</w:t>
            </w:r>
          </w:p>
        </w:tc>
        <w:tc>
          <w:tcPr>
            <w:tcW w:w="3180" w:type="dxa"/>
            <w:tcMar>
              <w:top w:w="0" w:type="dxa"/>
              <w:bottom w:w="0" w:type="dxa"/>
            </w:tcMar>
            <w:vAlign w:val="center"/>
          </w:tcPr>
          <w:p w14:paraId="5033E3E6" w14:textId="77777777" w:rsidR="00E22566"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71BADA26" w14:textId="77777777" w:rsidR="00E22566" w:rsidRDefault="00000000">
            <w:pPr>
              <w:keepNext/>
              <w:keepLines/>
              <w:spacing w:after="0" w:line="240" w:lineRule="auto"/>
            </w:pPr>
            <w:r>
              <w:rPr>
                <w:sz w:val="18"/>
              </w:rPr>
              <w:t>11K</w:t>
            </w:r>
          </w:p>
        </w:tc>
        <w:tc>
          <w:tcPr>
            <w:tcW w:w="1860" w:type="dxa"/>
            <w:tcMar>
              <w:top w:w="0" w:type="dxa"/>
              <w:bottom w:w="0" w:type="dxa"/>
            </w:tcMar>
            <w:vAlign w:val="center"/>
          </w:tcPr>
          <w:p w14:paraId="284FDDB7" w14:textId="77777777" w:rsidR="00E22566" w:rsidRDefault="00000000">
            <w:pPr>
              <w:keepNext/>
              <w:keepLines/>
              <w:spacing w:after="0" w:line="240" w:lineRule="auto"/>
              <w:jc w:val="right"/>
            </w:pPr>
            <w:r>
              <w:rPr>
                <w:sz w:val="18"/>
              </w:rPr>
              <w:t>108.165,11</w:t>
            </w:r>
          </w:p>
        </w:tc>
        <w:tc>
          <w:tcPr>
            <w:tcW w:w="1860" w:type="dxa"/>
            <w:tcMar>
              <w:top w:w="0" w:type="dxa"/>
              <w:bottom w:w="0" w:type="dxa"/>
            </w:tcMar>
            <w:vAlign w:val="center"/>
          </w:tcPr>
          <w:p w14:paraId="1AF97D57" w14:textId="77777777" w:rsidR="00E22566" w:rsidRDefault="00000000">
            <w:pPr>
              <w:keepNext/>
              <w:keepLines/>
              <w:spacing w:after="0" w:line="240" w:lineRule="auto"/>
              <w:jc w:val="right"/>
            </w:pPr>
            <w:r>
              <w:rPr>
                <w:sz w:val="18"/>
              </w:rPr>
              <w:t>83.419,84</w:t>
            </w:r>
          </w:p>
        </w:tc>
        <w:tc>
          <w:tcPr>
            <w:tcW w:w="700" w:type="dxa"/>
            <w:tcMar>
              <w:top w:w="0" w:type="dxa"/>
              <w:bottom w:w="0" w:type="dxa"/>
            </w:tcMar>
            <w:vAlign w:val="center"/>
          </w:tcPr>
          <w:p w14:paraId="704A2D7F" w14:textId="77777777" w:rsidR="00E22566" w:rsidRDefault="00000000">
            <w:pPr>
              <w:keepNext/>
              <w:keepLines/>
              <w:spacing w:after="0" w:line="240" w:lineRule="auto"/>
              <w:jc w:val="right"/>
            </w:pPr>
            <w:r>
              <w:rPr>
                <w:sz w:val="18"/>
              </w:rPr>
              <w:t>77,1</w:t>
            </w:r>
          </w:p>
        </w:tc>
      </w:tr>
    </w:tbl>
    <w:p w14:paraId="360FE79D" w14:textId="77777777" w:rsidR="00E22566" w:rsidRDefault="00E22566">
      <w:pPr>
        <w:spacing w:after="0"/>
      </w:pPr>
    </w:p>
    <w:p w14:paraId="1B3545F5" w14:textId="77777777" w:rsidR="00E22566" w:rsidRDefault="00000000">
      <w:r>
        <w:t>Stanje novčanih sredstava na kraju izvještajnog razdoblja bilježi smanjenje na dan 31.12.2025. godine u odnosu na isto izvještajno razdoblje prethodne godine i iznosi 83.419,84 EUR, a ovisi i varira o ostvarenju prihoda i podmirenju obveza. Sredstva na računu su za pokriće nedospjelih obveza.</w:t>
      </w:r>
    </w:p>
    <w:p w14:paraId="65C98C43" w14:textId="77777777" w:rsidR="00E22566" w:rsidRDefault="00E22566"/>
    <w:p w14:paraId="0016D264" w14:textId="77777777" w:rsidR="00E22566"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6D2B86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91F6F6"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BBEA6D"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1D1B6D"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B20555"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835476"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4C10C0" w14:textId="77777777" w:rsidR="00E22566" w:rsidRDefault="00000000">
            <w:pPr>
              <w:keepNext/>
              <w:keepLines/>
              <w:spacing w:after="0" w:line="240" w:lineRule="auto"/>
              <w:jc w:val="center"/>
            </w:pPr>
            <w:r>
              <w:rPr>
                <w:b/>
                <w:sz w:val="18"/>
              </w:rPr>
              <w:t>Indeks (%)</w:t>
            </w:r>
          </w:p>
        </w:tc>
      </w:tr>
      <w:tr w:rsidR="00E22566" w14:paraId="6683363E" w14:textId="77777777">
        <w:tblPrEx>
          <w:tblCellMar>
            <w:top w:w="0" w:type="dxa"/>
            <w:bottom w:w="0" w:type="dxa"/>
          </w:tblCellMar>
        </w:tblPrEx>
        <w:trPr>
          <w:cantSplit/>
          <w:trHeight w:val="560"/>
        </w:trPr>
        <w:tc>
          <w:tcPr>
            <w:tcW w:w="700" w:type="dxa"/>
            <w:tcMar>
              <w:top w:w="0" w:type="dxa"/>
              <w:bottom w:w="0" w:type="dxa"/>
            </w:tcMar>
            <w:vAlign w:val="center"/>
          </w:tcPr>
          <w:p w14:paraId="39D17E15" w14:textId="77777777" w:rsidR="00E22566" w:rsidRDefault="00000000">
            <w:pPr>
              <w:keepNext/>
              <w:keepLines/>
              <w:spacing w:after="0" w:line="240" w:lineRule="auto"/>
            </w:pPr>
            <w:r>
              <w:rPr>
                <w:sz w:val="18"/>
              </w:rPr>
              <w:t>65267</w:t>
            </w:r>
          </w:p>
        </w:tc>
        <w:tc>
          <w:tcPr>
            <w:tcW w:w="3180" w:type="dxa"/>
            <w:tcMar>
              <w:top w:w="0" w:type="dxa"/>
              <w:bottom w:w="0" w:type="dxa"/>
            </w:tcMar>
            <w:vAlign w:val="center"/>
          </w:tcPr>
          <w:p w14:paraId="34DECE29" w14:textId="77777777" w:rsidR="00E22566" w:rsidRDefault="00000000">
            <w:pPr>
              <w:keepNext/>
              <w:keepLines/>
              <w:spacing w:after="0" w:line="240" w:lineRule="auto"/>
            </w:pPr>
            <w:r>
              <w:rPr>
                <w:sz w:val="18"/>
              </w:rPr>
              <w:t>Prihodi s naslova osiguranja, refundacije štete i totalne štete</w:t>
            </w:r>
          </w:p>
        </w:tc>
        <w:tc>
          <w:tcPr>
            <w:tcW w:w="700" w:type="dxa"/>
            <w:tcMar>
              <w:top w:w="0" w:type="dxa"/>
              <w:bottom w:w="0" w:type="dxa"/>
            </w:tcMar>
            <w:vAlign w:val="center"/>
          </w:tcPr>
          <w:p w14:paraId="6297CF43" w14:textId="77777777" w:rsidR="00E22566" w:rsidRDefault="00000000">
            <w:pPr>
              <w:keepNext/>
              <w:keepLines/>
              <w:spacing w:after="0" w:line="240" w:lineRule="auto"/>
            </w:pPr>
            <w:r>
              <w:rPr>
                <w:sz w:val="18"/>
              </w:rPr>
              <w:t>65267</w:t>
            </w:r>
          </w:p>
        </w:tc>
        <w:tc>
          <w:tcPr>
            <w:tcW w:w="1860" w:type="dxa"/>
            <w:tcMar>
              <w:top w:w="0" w:type="dxa"/>
              <w:bottom w:w="0" w:type="dxa"/>
            </w:tcMar>
            <w:vAlign w:val="center"/>
          </w:tcPr>
          <w:p w14:paraId="74F72B68" w14:textId="77777777" w:rsidR="00E22566" w:rsidRDefault="00000000">
            <w:pPr>
              <w:keepNext/>
              <w:keepLines/>
              <w:spacing w:after="0" w:line="240" w:lineRule="auto"/>
              <w:jc w:val="right"/>
            </w:pPr>
            <w:r>
              <w:rPr>
                <w:sz w:val="18"/>
              </w:rPr>
              <w:t>0,00</w:t>
            </w:r>
          </w:p>
        </w:tc>
        <w:tc>
          <w:tcPr>
            <w:tcW w:w="1860" w:type="dxa"/>
            <w:tcMar>
              <w:top w:w="0" w:type="dxa"/>
              <w:bottom w:w="0" w:type="dxa"/>
            </w:tcMar>
            <w:vAlign w:val="center"/>
          </w:tcPr>
          <w:p w14:paraId="49492E77" w14:textId="77777777" w:rsidR="00E22566" w:rsidRDefault="00000000">
            <w:pPr>
              <w:keepNext/>
              <w:keepLines/>
              <w:spacing w:after="0" w:line="240" w:lineRule="auto"/>
              <w:jc w:val="right"/>
            </w:pPr>
            <w:r>
              <w:rPr>
                <w:sz w:val="18"/>
              </w:rPr>
              <w:t>196,25</w:t>
            </w:r>
          </w:p>
        </w:tc>
        <w:tc>
          <w:tcPr>
            <w:tcW w:w="700" w:type="dxa"/>
            <w:tcMar>
              <w:top w:w="0" w:type="dxa"/>
              <w:bottom w:w="0" w:type="dxa"/>
            </w:tcMar>
            <w:vAlign w:val="center"/>
          </w:tcPr>
          <w:p w14:paraId="17886479" w14:textId="77777777" w:rsidR="00E22566" w:rsidRDefault="00000000">
            <w:pPr>
              <w:keepNext/>
              <w:keepLines/>
              <w:spacing w:after="0" w:line="240" w:lineRule="auto"/>
              <w:jc w:val="right"/>
            </w:pPr>
            <w:r>
              <w:rPr>
                <w:sz w:val="18"/>
              </w:rPr>
              <w:t>-</w:t>
            </w:r>
          </w:p>
        </w:tc>
      </w:tr>
    </w:tbl>
    <w:p w14:paraId="52C4E2E1" w14:textId="77777777" w:rsidR="00E22566" w:rsidRDefault="00E22566">
      <w:pPr>
        <w:spacing w:after="0"/>
      </w:pPr>
    </w:p>
    <w:p w14:paraId="6640C354" w14:textId="77777777" w:rsidR="00E22566" w:rsidRDefault="00000000">
      <w:pPr>
        <w:jc w:val="both"/>
      </w:pPr>
      <w:r>
        <w:t>Konto 65267 Prihodi s naslova osiguranja, refundacije štete i totalne štete iznosi 196,25 EUR i odnosi se na doznačena sredstva osiguravajućeg društva za štetu nastalu prilikom puknuća ventila tople vode na vanjskoj strani zgrade Doma za starije i nemoćne osobe Požega.</w:t>
      </w:r>
    </w:p>
    <w:p w14:paraId="5D925571" w14:textId="77777777" w:rsidR="00E22566" w:rsidRDefault="00E22566"/>
    <w:p w14:paraId="51E4A76B" w14:textId="77777777" w:rsidR="00E22566"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6E667E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F785C4"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D39E7F"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74565C"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21FABD"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9CED0B"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3E844D" w14:textId="77777777" w:rsidR="00E22566" w:rsidRDefault="00000000">
            <w:pPr>
              <w:keepNext/>
              <w:keepLines/>
              <w:spacing w:after="0" w:line="240" w:lineRule="auto"/>
              <w:jc w:val="center"/>
            </w:pPr>
            <w:r>
              <w:rPr>
                <w:b/>
                <w:sz w:val="18"/>
              </w:rPr>
              <w:t>Indeks (%)</w:t>
            </w:r>
          </w:p>
        </w:tc>
      </w:tr>
      <w:tr w:rsidR="00E22566" w14:paraId="475C98AE" w14:textId="77777777">
        <w:tblPrEx>
          <w:tblCellMar>
            <w:top w:w="0" w:type="dxa"/>
            <w:bottom w:w="0" w:type="dxa"/>
          </w:tblCellMar>
        </w:tblPrEx>
        <w:trPr>
          <w:cantSplit/>
          <w:trHeight w:val="560"/>
        </w:trPr>
        <w:tc>
          <w:tcPr>
            <w:tcW w:w="700" w:type="dxa"/>
            <w:tcMar>
              <w:top w:w="0" w:type="dxa"/>
              <w:bottom w:w="0" w:type="dxa"/>
            </w:tcMar>
            <w:vAlign w:val="center"/>
          </w:tcPr>
          <w:p w14:paraId="6D1D34DA" w14:textId="77777777" w:rsidR="00E22566" w:rsidRDefault="00000000">
            <w:pPr>
              <w:keepNext/>
              <w:keepLines/>
              <w:spacing w:after="0" w:line="240" w:lineRule="auto"/>
            </w:pPr>
            <w:r>
              <w:rPr>
                <w:sz w:val="18"/>
              </w:rPr>
              <w:t>31215</w:t>
            </w:r>
          </w:p>
        </w:tc>
        <w:tc>
          <w:tcPr>
            <w:tcW w:w="3180" w:type="dxa"/>
            <w:tcMar>
              <w:top w:w="0" w:type="dxa"/>
              <w:bottom w:w="0" w:type="dxa"/>
            </w:tcMar>
            <w:vAlign w:val="center"/>
          </w:tcPr>
          <w:p w14:paraId="1481904D" w14:textId="77777777" w:rsidR="00E22566" w:rsidRDefault="00000000">
            <w:pPr>
              <w:keepNext/>
              <w:keepLines/>
              <w:spacing w:after="0" w:line="240" w:lineRule="auto"/>
            </w:pPr>
            <w:r>
              <w:rPr>
                <w:sz w:val="18"/>
              </w:rPr>
              <w:t>Naknade za bolest, invalidnost i smrtni slučaj</w:t>
            </w:r>
          </w:p>
        </w:tc>
        <w:tc>
          <w:tcPr>
            <w:tcW w:w="700" w:type="dxa"/>
            <w:tcMar>
              <w:top w:w="0" w:type="dxa"/>
              <w:bottom w:w="0" w:type="dxa"/>
            </w:tcMar>
            <w:vAlign w:val="center"/>
          </w:tcPr>
          <w:p w14:paraId="49898C40" w14:textId="77777777" w:rsidR="00E22566" w:rsidRDefault="00000000">
            <w:pPr>
              <w:keepNext/>
              <w:keepLines/>
              <w:spacing w:after="0" w:line="240" w:lineRule="auto"/>
            </w:pPr>
            <w:r>
              <w:rPr>
                <w:sz w:val="18"/>
              </w:rPr>
              <w:t>31215</w:t>
            </w:r>
          </w:p>
        </w:tc>
        <w:tc>
          <w:tcPr>
            <w:tcW w:w="1860" w:type="dxa"/>
            <w:tcMar>
              <w:top w:w="0" w:type="dxa"/>
              <w:bottom w:w="0" w:type="dxa"/>
            </w:tcMar>
            <w:vAlign w:val="center"/>
          </w:tcPr>
          <w:p w14:paraId="3CD64885" w14:textId="77777777" w:rsidR="00E22566" w:rsidRDefault="00000000">
            <w:pPr>
              <w:keepNext/>
              <w:keepLines/>
              <w:spacing w:after="0" w:line="240" w:lineRule="auto"/>
              <w:jc w:val="right"/>
            </w:pPr>
            <w:r>
              <w:rPr>
                <w:sz w:val="18"/>
              </w:rPr>
              <w:t>4.855,84</w:t>
            </w:r>
          </w:p>
        </w:tc>
        <w:tc>
          <w:tcPr>
            <w:tcW w:w="1860" w:type="dxa"/>
            <w:tcMar>
              <w:top w:w="0" w:type="dxa"/>
              <w:bottom w:w="0" w:type="dxa"/>
            </w:tcMar>
            <w:vAlign w:val="center"/>
          </w:tcPr>
          <w:p w14:paraId="03A8E4EC" w14:textId="77777777" w:rsidR="00E22566" w:rsidRDefault="00000000">
            <w:pPr>
              <w:keepNext/>
              <w:keepLines/>
              <w:spacing w:after="0" w:line="240" w:lineRule="auto"/>
              <w:jc w:val="right"/>
            </w:pPr>
            <w:r>
              <w:rPr>
                <w:sz w:val="18"/>
              </w:rPr>
              <w:t>8.143,38</w:t>
            </w:r>
          </w:p>
        </w:tc>
        <w:tc>
          <w:tcPr>
            <w:tcW w:w="700" w:type="dxa"/>
            <w:tcMar>
              <w:top w:w="0" w:type="dxa"/>
              <w:bottom w:w="0" w:type="dxa"/>
            </w:tcMar>
            <w:vAlign w:val="center"/>
          </w:tcPr>
          <w:p w14:paraId="0162D39B" w14:textId="77777777" w:rsidR="00E22566" w:rsidRDefault="00000000">
            <w:pPr>
              <w:keepNext/>
              <w:keepLines/>
              <w:spacing w:after="0" w:line="240" w:lineRule="auto"/>
              <w:jc w:val="right"/>
            </w:pPr>
            <w:r>
              <w:rPr>
                <w:sz w:val="18"/>
              </w:rPr>
              <w:t>167,7</w:t>
            </w:r>
          </w:p>
        </w:tc>
      </w:tr>
    </w:tbl>
    <w:p w14:paraId="465A2DF8" w14:textId="77777777" w:rsidR="00E22566" w:rsidRDefault="00E22566">
      <w:pPr>
        <w:spacing w:after="0"/>
      </w:pPr>
    </w:p>
    <w:p w14:paraId="0CA25179" w14:textId="77777777" w:rsidR="00E22566" w:rsidRDefault="00000000">
      <w:pPr>
        <w:jc w:val="both"/>
      </w:pPr>
      <w:r>
        <w:t>Konto 31215 Naknade za bolest, invalidnost i smrtni slučaj je veći za 67,7% u odnosu na isto izvještajno razdoblje prethodne godine iz razloga što je u predmetnom izvještajnom razdoblju bilo više radnika Doma za starije i nemoćne osobe Požega koji su bili na dugotrajnom bolovanju i koji su ostvarili pravo na naknadu za bolovanje duže od 90 dana.</w:t>
      </w:r>
    </w:p>
    <w:p w14:paraId="4A1C4248" w14:textId="77777777" w:rsidR="00E22566" w:rsidRDefault="00E22566"/>
    <w:p w14:paraId="3927AE41" w14:textId="77777777" w:rsidR="00E22566"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3ABE48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54D53F"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859F5D"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3F8594"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F473F3"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1134C6"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2287BE" w14:textId="77777777" w:rsidR="00E22566" w:rsidRDefault="00000000">
            <w:pPr>
              <w:keepNext/>
              <w:keepLines/>
              <w:spacing w:after="0" w:line="240" w:lineRule="auto"/>
              <w:jc w:val="center"/>
            </w:pPr>
            <w:r>
              <w:rPr>
                <w:b/>
                <w:sz w:val="18"/>
              </w:rPr>
              <w:t>Indeks (%)</w:t>
            </w:r>
          </w:p>
        </w:tc>
      </w:tr>
      <w:tr w:rsidR="00E22566" w14:paraId="2D919074" w14:textId="77777777">
        <w:tblPrEx>
          <w:tblCellMar>
            <w:top w:w="0" w:type="dxa"/>
            <w:bottom w:w="0" w:type="dxa"/>
          </w:tblCellMar>
        </w:tblPrEx>
        <w:trPr>
          <w:cantSplit/>
          <w:trHeight w:val="560"/>
        </w:trPr>
        <w:tc>
          <w:tcPr>
            <w:tcW w:w="700" w:type="dxa"/>
            <w:tcMar>
              <w:top w:w="0" w:type="dxa"/>
              <w:bottom w:w="0" w:type="dxa"/>
            </w:tcMar>
            <w:vAlign w:val="center"/>
          </w:tcPr>
          <w:p w14:paraId="30F07DD1" w14:textId="77777777" w:rsidR="00E22566" w:rsidRDefault="00000000">
            <w:pPr>
              <w:keepNext/>
              <w:keepLines/>
              <w:spacing w:after="0" w:line="240" w:lineRule="auto"/>
            </w:pPr>
            <w:r>
              <w:rPr>
                <w:sz w:val="18"/>
              </w:rPr>
              <w:t>32923</w:t>
            </w:r>
          </w:p>
        </w:tc>
        <w:tc>
          <w:tcPr>
            <w:tcW w:w="3180" w:type="dxa"/>
            <w:tcMar>
              <w:top w:w="0" w:type="dxa"/>
              <w:bottom w:w="0" w:type="dxa"/>
            </w:tcMar>
            <w:vAlign w:val="center"/>
          </w:tcPr>
          <w:p w14:paraId="1517858F" w14:textId="77777777" w:rsidR="00E22566" w:rsidRDefault="00000000">
            <w:pPr>
              <w:keepNext/>
              <w:keepLines/>
              <w:spacing w:after="0" w:line="240" w:lineRule="auto"/>
            </w:pPr>
            <w:r>
              <w:rPr>
                <w:sz w:val="18"/>
              </w:rPr>
              <w:t>Premije osiguranja zaposlenih</w:t>
            </w:r>
          </w:p>
        </w:tc>
        <w:tc>
          <w:tcPr>
            <w:tcW w:w="700" w:type="dxa"/>
            <w:tcMar>
              <w:top w:w="0" w:type="dxa"/>
              <w:bottom w:w="0" w:type="dxa"/>
            </w:tcMar>
            <w:vAlign w:val="center"/>
          </w:tcPr>
          <w:p w14:paraId="426B6F21" w14:textId="77777777" w:rsidR="00E22566" w:rsidRDefault="00000000">
            <w:pPr>
              <w:keepNext/>
              <w:keepLines/>
              <w:spacing w:after="0" w:line="240" w:lineRule="auto"/>
            </w:pPr>
            <w:r>
              <w:rPr>
                <w:sz w:val="18"/>
              </w:rPr>
              <w:t>32923</w:t>
            </w:r>
          </w:p>
        </w:tc>
        <w:tc>
          <w:tcPr>
            <w:tcW w:w="1860" w:type="dxa"/>
            <w:tcMar>
              <w:top w:w="0" w:type="dxa"/>
              <w:bottom w:w="0" w:type="dxa"/>
            </w:tcMar>
            <w:vAlign w:val="center"/>
          </w:tcPr>
          <w:p w14:paraId="2E9316F6" w14:textId="77777777" w:rsidR="00E22566" w:rsidRDefault="00000000">
            <w:pPr>
              <w:keepNext/>
              <w:keepLines/>
              <w:spacing w:after="0" w:line="240" w:lineRule="auto"/>
              <w:jc w:val="right"/>
            </w:pPr>
            <w:r>
              <w:rPr>
                <w:sz w:val="18"/>
              </w:rPr>
              <w:t>1.409,85</w:t>
            </w:r>
          </w:p>
        </w:tc>
        <w:tc>
          <w:tcPr>
            <w:tcW w:w="1860" w:type="dxa"/>
            <w:tcMar>
              <w:top w:w="0" w:type="dxa"/>
              <w:bottom w:w="0" w:type="dxa"/>
            </w:tcMar>
            <w:vAlign w:val="center"/>
          </w:tcPr>
          <w:p w14:paraId="5BE4AA44" w14:textId="77777777" w:rsidR="00E22566" w:rsidRDefault="00000000">
            <w:pPr>
              <w:keepNext/>
              <w:keepLines/>
              <w:spacing w:after="0" w:line="240" w:lineRule="auto"/>
              <w:jc w:val="right"/>
            </w:pPr>
            <w:r>
              <w:rPr>
                <w:sz w:val="18"/>
              </w:rPr>
              <w:t>1.287,45</w:t>
            </w:r>
          </w:p>
        </w:tc>
        <w:tc>
          <w:tcPr>
            <w:tcW w:w="700" w:type="dxa"/>
            <w:tcMar>
              <w:top w:w="0" w:type="dxa"/>
              <w:bottom w:w="0" w:type="dxa"/>
            </w:tcMar>
            <w:vAlign w:val="center"/>
          </w:tcPr>
          <w:p w14:paraId="6E64D6CE" w14:textId="77777777" w:rsidR="00E22566" w:rsidRDefault="00000000">
            <w:pPr>
              <w:keepNext/>
              <w:keepLines/>
              <w:spacing w:after="0" w:line="240" w:lineRule="auto"/>
              <w:jc w:val="right"/>
            </w:pPr>
            <w:r>
              <w:rPr>
                <w:sz w:val="18"/>
              </w:rPr>
              <w:t>91,3</w:t>
            </w:r>
          </w:p>
        </w:tc>
      </w:tr>
    </w:tbl>
    <w:p w14:paraId="445F701B" w14:textId="77777777" w:rsidR="00E22566" w:rsidRDefault="00E22566">
      <w:pPr>
        <w:spacing w:after="0"/>
      </w:pPr>
    </w:p>
    <w:p w14:paraId="1C5C9DF8" w14:textId="77777777" w:rsidR="00E22566" w:rsidRDefault="00000000">
      <w:pPr>
        <w:jc w:val="both"/>
      </w:pPr>
      <w:r>
        <w:t>Konto 32923 Premije osiguranja zaposlenih je ostvaren u iznosu od 1.287,45 EUR i manji je  u odnosu na isto izvještajno razdoblje prethodne godine iz razloga što je u 2025. godini cijena osiguranja zaposlenih manja nego 2024. godine.</w:t>
      </w:r>
    </w:p>
    <w:p w14:paraId="2824E4A0" w14:textId="77777777" w:rsidR="00E22566" w:rsidRDefault="00E22566"/>
    <w:p w14:paraId="2A638413" w14:textId="77777777" w:rsidR="00E22566"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3069EF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CE9E59"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9DA72D"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236A4C"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B1D6AE"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85885C"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CCFF47" w14:textId="77777777" w:rsidR="00E22566" w:rsidRDefault="00000000">
            <w:pPr>
              <w:keepNext/>
              <w:keepLines/>
              <w:spacing w:after="0" w:line="240" w:lineRule="auto"/>
              <w:jc w:val="center"/>
            </w:pPr>
            <w:r>
              <w:rPr>
                <w:b/>
                <w:sz w:val="18"/>
              </w:rPr>
              <w:t>Indeks (%)</w:t>
            </w:r>
          </w:p>
        </w:tc>
      </w:tr>
      <w:tr w:rsidR="00E22566" w14:paraId="3B4A25C2" w14:textId="77777777">
        <w:tblPrEx>
          <w:tblCellMar>
            <w:top w:w="0" w:type="dxa"/>
            <w:bottom w:w="0" w:type="dxa"/>
          </w:tblCellMar>
        </w:tblPrEx>
        <w:trPr>
          <w:cantSplit/>
          <w:trHeight w:val="560"/>
        </w:trPr>
        <w:tc>
          <w:tcPr>
            <w:tcW w:w="700" w:type="dxa"/>
            <w:tcMar>
              <w:top w:w="0" w:type="dxa"/>
              <w:bottom w:w="0" w:type="dxa"/>
            </w:tcMar>
            <w:vAlign w:val="center"/>
          </w:tcPr>
          <w:p w14:paraId="6B1DACF9" w14:textId="77777777" w:rsidR="00E22566" w:rsidRDefault="00000000">
            <w:pPr>
              <w:keepNext/>
              <w:keepLines/>
              <w:spacing w:after="0" w:line="240" w:lineRule="auto"/>
            </w:pPr>
            <w:r>
              <w:rPr>
                <w:sz w:val="18"/>
              </w:rPr>
              <w:t>32955</w:t>
            </w:r>
          </w:p>
        </w:tc>
        <w:tc>
          <w:tcPr>
            <w:tcW w:w="3180" w:type="dxa"/>
            <w:tcMar>
              <w:top w:w="0" w:type="dxa"/>
              <w:bottom w:w="0" w:type="dxa"/>
            </w:tcMar>
            <w:vAlign w:val="center"/>
          </w:tcPr>
          <w:p w14:paraId="6C81C277" w14:textId="77777777" w:rsidR="00E22566" w:rsidRDefault="00000000">
            <w:pPr>
              <w:keepNext/>
              <w:keepLines/>
              <w:spacing w:after="0" w:line="240" w:lineRule="auto"/>
            </w:pPr>
            <w:r>
              <w:rPr>
                <w:sz w:val="18"/>
              </w:rPr>
              <w:t>Novčana naknada poslodavca zbog nezapošljavanja osoba s invaliditetom</w:t>
            </w:r>
          </w:p>
        </w:tc>
        <w:tc>
          <w:tcPr>
            <w:tcW w:w="700" w:type="dxa"/>
            <w:tcMar>
              <w:top w:w="0" w:type="dxa"/>
              <w:bottom w:w="0" w:type="dxa"/>
            </w:tcMar>
            <w:vAlign w:val="center"/>
          </w:tcPr>
          <w:p w14:paraId="490E52BB" w14:textId="77777777" w:rsidR="00E22566" w:rsidRDefault="00000000">
            <w:pPr>
              <w:keepNext/>
              <w:keepLines/>
              <w:spacing w:after="0" w:line="240" w:lineRule="auto"/>
            </w:pPr>
            <w:r>
              <w:rPr>
                <w:sz w:val="18"/>
              </w:rPr>
              <w:t>32955</w:t>
            </w:r>
          </w:p>
        </w:tc>
        <w:tc>
          <w:tcPr>
            <w:tcW w:w="1860" w:type="dxa"/>
            <w:tcMar>
              <w:top w:w="0" w:type="dxa"/>
              <w:bottom w:w="0" w:type="dxa"/>
            </w:tcMar>
            <w:vAlign w:val="center"/>
          </w:tcPr>
          <w:p w14:paraId="4588A161" w14:textId="77777777" w:rsidR="00E22566" w:rsidRDefault="00000000">
            <w:pPr>
              <w:keepNext/>
              <w:keepLines/>
              <w:spacing w:after="0" w:line="240" w:lineRule="auto"/>
              <w:jc w:val="right"/>
            </w:pPr>
            <w:r>
              <w:rPr>
                <w:sz w:val="18"/>
              </w:rPr>
              <w:t>0,00</w:t>
            </w:r>
          </w:p>
        </w:tc>
        <w:tc>
          <w:tcPr>
            <w:tcW w:w="1860" w:type="dxa"/>
            <w:tcMar>
              <w:top w:w="0" w:type="dxa"/>
              <w:bottom w:w="0" w:type="dxa"/>
            </w:tcMar>
            <w:vAlign w:val="center"/>
          </w:tcPr>
          <w:p w14:paraId="25A3F117" w14:textId="77777777" w:rsidR="00E22566" w:rsidRDefault="00000000">
            <w:pPr>
              <w:keepNext/>
              <w:keepLines/>
              <w:spacing w:after="0" w:line="240" w:lineRule="auto"/>
              <w:jc w:val="right"/>
            </w:pPr>
            <w:r>
              <w:rPr>
                <w:sz w:val="18"/>
              </w:rPr>
              <w:t>3.104,00</w:t>
            </w:r>
          </w:p>
        </w:tc>
        <w:tc>
          <w:tcPr>
            <w:tcW w:w="700" w:type="dxa"/>
            <w:tcMar>
              <w:top w:w="0" w:type="dxa"/>
              <w:bottom w:w="0" w:type="dxa"/>
            </w:tcMar>
            <w:vAlign w:val="center"/>
          </w:tcPr>
          <w:p w14:paraId="1D64B395" w14:textId="77777777" w:rsidR="00E22566" w:rsidRDefault="00000000">
            <w:pPr>
              <w:keepNext/>
              <w:keepLines/>
              <w:spacing w:after="0" w:line="240" w:lineRule="auto"/>
              <w:jc w:val="right"/>
            </w:pPr>
            <w:r>
              <w:rPr>
                <w:sz w:val="18"/>
              </w:rPr>
              <w:t>-</w:t>
            </w:r>
          </w:p>
        </w:tc>
      </w:tr>
    </w:tbl>
    <w:p w14:paraId="26975A05" w14:textId="77777777" w:rsidR="00E22566" w:rsidRDefault="00E22566">
      <w:pPr>
        <w:spacing w:after="0"/>
      </w:pPr>
    </w:p>
    <w:p w14:paraId="176543CA" w14:textId="77777777" w:rsidR="00E22566" w:rsidRDefault="00000000">
      <w:pPr>
        <w:jc w:val="both"/>
      </w:pPr>
      <w:r>
        <w:t xml:space="preserve">Konto 32955 Novčana naknada poslodavca zbog nezapošljavanja osoba s invaliditetom ostvarena je u iznosu od 3.104,00 EUR budući da za svih 12 mjeseci 2025. godine nisu </w:t>
      </w:r>
      <w:r>
        <w:lastRenderedPageBreak/>
        <w:t>prijavljivanje zamjenske kvote radi nezapošljavanja osoba s invaliditetom Zavodu za vještačenje, profesionalnu rehabilitaciju i zapošljavanje osoba s invaliditetom.</w:t>
      </w:r>
    </w:p>
    <w:p w14:paraId="22E66B49" w14:textId="77777777" w:rsidR="00E22566" w:rsidRDefault="00E22566"/>
    <w:p w14:paraId="7CAE8D42" w14:textId="77777777" w:rsidR="00E22566" w:rsidRDefault="00000000">
      <w:pPr>
        <w:keepNext/>
        <w:spacing w:line="240" w:lineRule="auto"/>
        <w:jc w:val="center"/>
      </w:pPr>
      <w:r>
        <w:rPr>
          <w:b/>
          <w:sz w:val="28"/>
        </w:rPr>
        <w:t>Bilanca</w:t>
      </w:r>
    </w:p>
    <w:p w14:paraId="4F6E1097" w14:textId="77777777" w:rsidR="00E22566"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06C7E9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7F552F"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F3CE3B"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3B8553"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769D76"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83AFAD"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F76AC5" w14:textId="77777777" w:rsidR="00E22566" w:rsidRDefault="00000000">
            <w:pPr>
              <w:keepNext/>
              <w:keepLines/>
              <w:spacing w:after="0" w:line="240" w:lineRule="auto"/>
              <w:jc w:val="center"/>
            </w:pPr>
            <w:r>
              <w:rPr>
                <w:b/>
                <w:sz w:val="18"/>
              </w:rPr>
              <w:t>Indeks (%)</w:t>
            </w:r>
          </w:p>
        </w:tc>
      </w:tr>
      <w:tr w:rsidR="00E22566" w14:paraId="26335605" w14:textId="77777777">
        <w:tblPrEx>
          <w:tblCellMar>
            <w:top w:w="0" w:type="dxa"/>
            <w:bottom w:w="0" w:type="dxa"/>
          </w:tblCellMar>
        </w:tblPrEx>
        <w:trPr>
          <w:cantSplit/>
          <w:trHeight w:val="560"/>
        </w:trPr>
        <w:tc>
          <w:tcPr>
            <w:tcW w:w="700" w:type="dxa"/>
            <w:tcMar>
              <w:top w:w="0" w:type="dxa"/>
              <w:bottom w:w="0" w:type="dxa"/>
            </w:tcMar>
            <w:vAlign w:val="center"/>
          </w:tcPr>
          <w:p w14:paraId="3E473722" w14:textId="77777777" w:rsidR="00E22566" w:rsidRDefault="00E22566">
            <w:pPr>
              <w:keepNext/>
              <w:keepLines/>
              <w:spacing w:after="0" w:line="240" w:lineRule="auto"/>
            </w:pPr>
          </w:p>
        </w:tc>
        <w:tc>
          <w:tcPr>
            <w:tcW w:w="3180" w:type="dxa"/>
            <w:tcMar>
              <w:top w:w="0" w:type="dxa"/>
              <w:bottom w:w="0" w:type="dxa"/>
            </w:tcMar>
            <w:vAlign w:val="center"/>
          </w:tcPr>
          <w:p w14:paraId="4D1AEA45" w14:textId="77777777" w:rsidR="00E22566" w:rsidRDefault="00000000">
            <w:pPr>
              <w:keepNext/>
              <w:keepLines/>
              <w:spacing w:after="0" w:line="240" w:lineRule="auto"/>
            </w:pPr>
            <w:r>
              <w:rPr>
                <w:sz w:val="18"/>
              </w:rPr>
              <w:t>IMOVINA (šifre B002+1)</w:t>
            </w:r>
          </w:p>
        </w:tc>
        <w:tc>
          <w:tcPr>
            <w:tcW w:w="700" w:type="dxa"/>
            <w:tcMar>
              <w:top w:w="0" w:type="dxa"/>
              <w:bottom w:w="0" w:type="dxa"/>
            </w:tcMar>
            <w:vAlign w:val="center"/>
          </w:tcPr>
          <w:p w14:paraId="1C9A2785" w14:textId="77777777" w:rsidR="00E22566" w:rsidRDefault="00000000">
            <w:pPr>
              <w:keepNext/>
              <w:keepLines/>
              <w:spacing w:after="0" w:line="240" w:lineRule="auto"/>
            </w:pPr>
            <w:r>
              <w:rPr>
                <w:sz w:val="18"/>
              </w:rPr>
              <w:t>B001</w:t>
            </w:r>
          </w:p>
        </w:tc>
        <w:tc>
          <w:tcPr>
            <w:tcW w:w="1860" w:type="dxa"/>
            <w:tcMar>
              <w:top w:w="0" w:type="dxa"/>
              <w:bottom w:w="0" w:type="dxa"/>
            </w:tcMar>
            <w:vAlign w:val="center"/>
          </w:tcPr>
          <w:p w14:paraId="60EAD39C" w14:textId="77777777" w:rsidR="00E22566" w:rsidRDefault="00000000">
            <w:pPr>
              <w:keepNext/>
              <w:keepLines/>
              <w:spacing w:after="0" w:line="240" w:lineRule="auto"/>
              <w:jc w:val="right"/>
            </w:pPr>
            <w:r>
              <w:rPr>
                <w:sz w:val="18"/>
              </w:rPr>
              <w:t>3.194.087,40</w:t>
            </w:r>
          </w:p>
        </w:tc>
        <w:tc>
          <w:tcPr>
            <w:tcW w:w="1860" w:type="dxa"/>
            <w:tcMar>
              <w:top w:w="0" w:type="dxa"/>
              <w:bottom w:w="0" w:type="dxa"/>
            </w:tcMar>
            <w:vAlign w:val="center"/>
          </w:tcPr>
          <w:p w14:paraId="2BC4EDA7" w14:textId="77777777" w:rsidR="00E22566" w:rsidRDefault="00000000">
            <w:pPr>
              <w:keepNext/>
              <w:keepLines/>
              <w:spacing w:after="0" w:line="240" w:lineRule="auto"/>
              <w:jc w:val="right"/>
            </w:pPr>
            <w:r>
              <w:rPr>
                <w:sz w:val="18"/>
              </w:rPr>
              <w:t>228.083,34</w:t>
            </w:r>
          </w:p>
        </w:tc>
        <w:tc>
          <w:tcPr>
            <w:tcW w:w="700" w:type="dxa"/>
            <w:tcMar>
              <w:top w:w="0" w:type="dxa"/>
              <w:bottom w:w="0" w:type="dxa"/>
            </w:tcMar>
            <w:vAlign w:val="center"/>
          </w:tcPr>
          <w:p w14:paraId="3CDDDB50" w14:textId="77777777" w:rsidR="00E22566" w:rsidRDefault="00000000">
            <w:pPr>
              <w:keepNext/>
              <w:keepLines/>
              <w:spacing w:after="0" w:line="240" w:lineRule="auto"/>
              <w:jc w:val="right"/>
            </w:pPr>
            <w:r>
              <w:rPr>
                <w:sz w:val="18"/>
              </w:rPr>
              <w:t>7,1</w:t>
            </w:r>
          </w:p>
        </w:tc>
      </w:tr>
    </w:tbl>
    <w:p w14:paraId="1A77BC02" w14:textId="77777777" w:rsidR="00E22566" w:rsidRDefault="00E22566">
      <w:pPr>
        <w:spacing w:after="0"/>
      </w:pPr>
    </w:p>
    <w:p w14:paraId="7E74696C" w14:textId="77777777" w:rsidR="00E22566" w:rsidRDefault="00000000">
      <w:r>
        <w:t>Ukupan iznos imovine - obveza i vlastitih izvora na dan 31.12.2025. godine iznosi 228.083,34 EUR.</w:t>
      </w:r>
    </w:p>
    <w:p w14:paraId="52FD4620" w14:textId="77777777" w:rsidR="00E22566" w:rsidRDefault="00E22566"/>
    <w:p w14:paraId="5978170F" w14:textId="77777777" w:rsidR="00E22566"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22DCC2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1987B1"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778B0F"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1E9EBC"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BC5570"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265392"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60F67D" w14:textId="77777777" w:rsidR="00E22566" w:rsidRDefault="00000000">
            <w:pPr>
              <w:keepNext/>
              <w:keepLines/>
              <w:spacing w:after="0" w:line="240" w:lineRule="auto"/>
              <w:jc w:val="center"/>
            </w:pPr>
            <w:r>
              <w:rPr>
                <w:b/>
                <w:sz w:val="18"/>
              </w:rPr>
              <w:t>Indeks (%)</w:t>
            </w:r>
          </w:p>
        </w:tc>
      </w:tr>
      <w:tr w:rsidR="00E22566" w14:paraId="2844B35F" w14:textId="77777777">
        <w:tblPrEx>
          <w:tblCellMar>
            <w:top w:w="0" w:type="dxa"/>
            <w:bottom w:w="0" w:type="dxa"/>
          </w:tblCellMar>
        </w:tblPrEx>
        <w:trPr>
          <w:cantSplit/>
          <w:trHeight w:val="560"/>
        </w:trPr>
        <w:tc>
          <w:tcPr>
            <w:tcW w:w="700" w:type="dxa"/>
            <w:tcMar>
              <w:top w:w="0" w:type="dxa"/>
              <w:bottom w:w="0" w:type="dxa"/>
            </w:tcMar>
            <w:vAlign w:val="center"/>
          </w:tcPr>
          <w:p w14:paraId="0A2BC379" w14:textId="77777777" w:rsidR="00E22566" w:rsidRDefault="00000000">
            <w:pPr>
              <w:keepNext/>
              <w:keepLines/>
              <w:spacing w:after="0" w:line="240" w:lineRule="auto"/>
            </w:pPr>
            <w:r>
              <w:rPr>
                <w:sz w:val="18"/>
              </w:rPr>
              <w:t>012</w:t>
            </w:r>
          </w:p>
        </w:tc>
        <w:tc>
          <w:tcPr>
            <w:tcW w:w="3180" w:type="dxa"/>
            <w:tcMar>
              <w:top w:w="0" w:type="dxa"/>
              <w:bottom w:w="0" w:type="dxa"/>
            </w:tcMar>
            <w:vAlign w:val="center"/>
          </w:tcPr>
          <w:p w14:paraId="4BF6A324" w14:textId="77777777" w:rsidR="00E22566" w:rsidRDefault="00000000">
            <w:pPr>
              <w:keepNext/>
              <w:keepLines/>
              <w:spacing w:after="0" w:line="240" w:lineRule="auto"/>
            </w:pPr>
            <w:r>
              <w:rPr>
                <w:sz w:val="18"/>
              </w:rPr>
              <w:t>Nematerijalna imovina</w:t>
            </w:r>
          </w:p>
        </w:tc>
        <w:tc>
          <w:tcPr>
            <w:tcW w:w="700" w:type="dxa"/>
            <w:tcMar>
              <w:top w:w="0" w:type="dxa"/>
              <w:bottom w:w="0" w:type="dxa"/>
            </w:tcMar>
            <w:vAlign w:val="center"/>
          </w:tcPr>
          <w:p w14:paraId="4FDD8008" w14:textId="77777777" w:rsidR="00E22566" w:rsidRDefault="00000000">
            <w:pPr>
              <w:keepNext/>
              <w:keepLines/>
              <w:spacing w:after="0" w:line="240" w:lineRule="auto"/>
            </w:pPr>
            <w:r>
              <w:rPr>
                <w:sz w:val="18"/>
              </w:rPr>
              <w:t>012</w:t>
            </w:r>
          </w:p>
        </w:tc>
        <w:tc>
          <w:tcPr>
            <w:tcW w:w="1860" w:type="dxa"/>
            <w:tcMar>
              <w:top w:w="0" w:type="dxa"/>
              <w:bottom w:w="0" w:type="dxa"/>
            </w:tcMar>
            <w:vAlign w:val="center"/>
          </w:tcPr>
          <w:p w14:paraId="7F859895" w14:textId="77777777" w:rsidR="00E22566" w:rsidRDefault="00000000">
            <w:pPr>
              <w:keepNext/>
              <w:keepLines/>
              <w:spacing w:after="0" w:line="240" w:lineRule="auto"/>
              <w:jc w:val="right"/>
            </w:pPr>
            <w:r>
              <w:rPr>
                <w:sz w:val="18"/>
              </w:rPr>
              <w:t>1.550,05</w:t>
            </w:r>
          </w:p>
        </w:tc>
        <w:tc>
          <w:tcPr>
            <w:tcW w:w="1860" w:type="dxa"/>
            <w:tcMar>
              <w:top w:w="0" w:type="dxa"/>
              <w:bottom w:w="0" w:type="dxa"/>
            </w:tcMar>
            <w:vAlign w:val="center"/>
          </w:tcPr>
          <w:p w14:paraId="433B78A0" w14:textId="77777777" w:rsidR="00E22566" w:rsidRDefault="00000000">
            <w:pPr>
              <w:keepNext/>
              <w:keepLines/>
              <w:spacing w:after="0" w:line="240" w:lineRule="auto"/>
              <w:jc w:val="right"/>
            </w:pPr>
            <w:r>
              <w:rPr>
                <w:sz w:val="18"/>
              </w:rPr>
              <w:t>66.448,93</w:t>
            </w:r>
          </w:p>
        </w:tc>
        <w:tc>
          <w:tcPr>
            <w:tcW w:w="700" w:type="dxa"/>
            <w:tcMar>
              <w:top w:w="0" w:type="dxa"/>
              <w:bottom w:w="0" w:type="dxa"/>
            </w:tcMar>
            <w:vAlign w:val="center"/>
          </w:tcPr>
          <w:p w14:paraId="5B8F6C90" w14:textId="77777777" w:rsidR="00E22566" w:rsidRDefault="00000000">
            <w:pPr>
              <w:keepNext/>
              <w:keepLines/>
              <w:spacing w:after="0" w:line="240" w:lineRule="auto"/>
              <w:jc w:val="right"/>
            </w:pPr>
            <w:r>
              <w:rPr>
                <w:sz w:val="18"/>
              </w:rPr>
              <w:t>4286,9</w:t>
            </w:r>
          </w:p>
        </w:tc>
      </w:tr>
    </w:tbl>
    <w:p w14:paraId="6EA1FBEE" w14:textId="77777777" w:rsidR="00E22566" w:rsidRDefault="00E22566">
      <w:pPr>
        <w:spacing w:after="0"/>
      </w:pPr>
    </w:p>
    <w:p w14:paraId="574AD10C" w14:textId="77777777" w:rsidR="00E22566" w:rsidRDefault="00000000">
      <w:pPr>
        <w:jc w:val="both"/>
      </w:pPr>
      <w:r>
        <w:t>Na kontu 012 Nematerijalna imovina na dan 31.12.2025. godine evidentirano je ulaganje na tuđoj imovini radi prava korištenja tj. nabavljen je novi vatrodojavni sustav za stambeni dio Doma za starije i nemoćne osobe Požega. Budući da je zgrada i dvorište u kojoj Dom za starije i nemoćne osobe Požega u vlasništvu Požeško-slavonske županije, a radi se o sustavu koji se ugrađuje u zgradu navedeno je proknjiženo kao ulaganje na tuđoj imovini radi prava korištenja u iznosu od 64.898,88 EUR. Navedeno je proknjiženo na gore navedeni način iz razloga što je u 2025. godini zgrada i dvorište u kojoj Dom za starije i nemoćne osobe Požega obavlja svoju djelatnost isknjižena iz popisa osnovnih sredstva (je je pogrešno bila evidentirana kao imovina, a nikad nije bila u vlasništvu Doma za starije i nemoćne osobe Požega) i proknjižena izvanbilančno kao tuđa imovina dobivena na korištenje. Također su na navedenom kontu proknjižene i licence u iznosu od 1.550,05 EUR.</w:t>
      </w:r>
    </w:p>
    <w:p w14:paraId="6C428F4D" w14:textId="77777777" w:rsidR="00E22566" w:rsidRDefault="00E22566"/>
    <w:p w14:paraId="508063EC" w14:textId="77777777" w:rsidR="00E22566"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4B932E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8644C0"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0868CC"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A914EE"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94B87E"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7695F0"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62DBB2" w14:textId="77777777" w:rsidR="00E22566" w:rsidRDefault="00000000">
            <w:pPr>
              <w:keepNext/>
              <w:keepLines/>
              <w:spacing w:after="0" w:line="240" w:lineRule="auto"/>
              <w:jc w:val="center"/>
            </w:pPr>
            <w:r>
              <w:rPr>
                <w:b/>
                <w:sz w:val="18"/>
              </w:rPr>
              <w:t>Indeks (%)</w:t>
            </w:r>
          </w:p>
        </w:tc>
      </w:tr>
      <w:tr w:rsidR="00E22566" w14:paraId="3FC5DB30" w14:textId="77777777">
        <w:tblPrEx>
          <w:tblCellMar>
            <w:top w:w="0" w:type="dxa"/>
            <w:bottom w:w="0" w:type="dxa"/>
          </w:tblCellMar>
        </w:tblPrEx>
        <w:trPr>
          <w:cantSplit/>
          <w:trHeight w:val="560"/>
        </w:trPr>
        <w:tc>
          <w:tcPr>
            <w:tcW w:w="700" w:type="dxa"/>
            <w:tcMar>
              <w:top w:w="0" w:type="dxa"/>
              <w:bottom w:w="0" w:type="dxa"/>
            </w:tcMar>
            <w:vAlign w:val="center"/>
          </w:tcPr>
          <w:p w14:paraId="6875876A" w14:textId="77777777" w:rsidR="00E22566" w:rsidRDefault="00000000">
            <w:pPr>
              <w:keepNext/>
              <w:keepLines/>
              <w:spacing w:after="0" w:line="240" w:lineRule="auto"/>
            </w:pPr>
            <w:r>
              <w:rPr>
                <w:sz w:val="18"/>
              </w:rPr>
              <w:t>0212</w:t>
            </w:r>
          </w:p>
        </w:tc>
        <w:tc>
          <w:tcPr>
            <w:tcW w:w="3180" w:type="dxa"/>
            <w:tcMar>
              <w:top w:w="0" w:type="dxa"/>
              <w:bottom w:w="0" w:type="dxa"/>
            </w:tcMar>
            <w:vAlign w:val="center"/>
          </w:tcPr>
          <w:p w14:paraId="7FD8DD86" w14:textId="77777777" w:rsidR="00E22566" w:rsidRDefault="00000000">
            <w:pPr>
              <w:keepNext/>
              <w:keepLines/>
              <w:spacing w:after="0" w:line="240" w:lineRule="auto"/>
            </w:pPr>
            <w:r>
              <w:rPr>
                <w:sz w:val="18"/>
              </w:rPr>
              <w:t>Poslovni objekti</w:t>
            </w:r>
          </w:p>
        </w:tc>
        <w:tc>
          <w:tcPr>
            <w:tcW w:w="700" w:type="dxa"/>
            <w:tcMar>
              <w:top w:w="0" w:type="dxa"/>
              <w:bottom w:w="0" w:type="dxa"/>
            </w:tcMar>
            <w:vAlign w:val="center"/>
          </w:tcPr>
          <w:p w14:paraId="3DB74CB9" w14:textId="77777777" w:rsidR="00E22566" w:rsidRDefault="00000000">
            <w:pPr>
              <w:keepNext/>
              <w:keepLines/>
              <w:spacing w:after="0" w:line="240" w:lineRule="auto"/>
            </w:pPr>
            <w:r>
              <w:rPr>
                <w:sz w:val="18"/>
              </w:rPr>
              <w:t>0212</w:t>
            </w:r>
          </w:p>
        </w:tc>
        <w:tc>
          <w:tcPr>
            <w:tcW w:w="1860" w:type="dxa"/>
            <w:tcMar>
              <w:top w:w="0" w:type="dxa"/>
              <w:bottom w:w="0" w:type="dxa"/>
            </w:tcMar>
            <w:vAlign w:val="center"/>
          </w:tcPr>
          <w:p w14:paraId="3C07368A" w14:textId="77777777" w:rsidR="00E22566" w:rsidRDefault="00000000">
            <w:pPr>
              <w:keepNext/>
              <w:keepLines/>
              <w:spacing w:after="0" w:line="240" w:lineRule="auto"/>
              <w:jc w:val="right"/>
            </w:pPr>
            <w:r>
              <w:rPr>
                <w:sz w:val="18"/>
              </w:rPr>
              <w:t>3.707.919,45</w:t>
            </w:r>
          </w:p>
        </w:tc>
        <w:tc>
          <w:tcPr>
            <w:tcW w:w="1860" w:type="dxa"/>
            <w:tcMar>
              <w:top w:w="0" w:type="dxa"/>
              <w:bottom w:w="0" w:type="dxa"/>
            </w:tcMar>
            <w:vAlign w:val="center"/>
          </w:tcPr>
          <w:p w14:paraId="7BC42418" w14:textId="77777777" w:rsidR="00E22566" w:rsidRDefault="00000000">
            <w:pPr>
              <w:keepNext/>
              <w:keepLines/>
              <w:spacing w:after="0" w:line="240" w:lineRule="auto"/>
              <w:jc w:val="right"/>
            </w:pPr>
            <w:r>
              <w:rPr>
                <w:sz w:val="18"/>
              </w:rPr>
              <w:t>0,00</w:t>
            </w:r>
          </w:p>
        </w:tc>
        <w:tc>
          <w:tcPr>
            <w:tcW w:w="700" w:type="dxa"/>
            <w:tcMar>
              <w:top w:w="0" w:type="dxa"/>
              <w:bottom w:w="0" w:type="dxa"/>
            </w:tcMar>
            <w:vAlign w:val="center"/>
          </w:tcPr>
          <w:p w14:paraId="2EA9B65D" w14:textId="77777777" w:rsidR="00E22566" w:rsidRDefault="00000000">
            <w:pPr>
              <w:keepNext/>
              <w:keepLines/>
              <w:spacing w:after="0" w:line="240" w:lineRule="auto"/>
              <w:jc w:val="right"/>
            </w:pPr>
            <w:r>
              <w:rPr>
                <w:sz w:val="18"/>
              </w:rPr>
              <w:t>0</w:t>
            </w:r>
          </w:p>
        </w:tc>
      </w:tr>
    </w:tbl>
    <w:p w14:paraId="24768C44" w14:textId="77777777" w:rsidR="00E22566" w:rsidRDefault="00E22566">
      <w:pPr>
        <w:spacing w:after="0"/>
      </w:pPr>
    </w:p>
    <w:p w14:paraId="72EFDFA5" w14:textId="77777777" w:rsidR="00E22566" w:rsidRDefault="00000000">
      <w:pPr>
        <w:jc w:val="both"/>
      </w:pPr>
      <w:r>
        <w:t xml:space="preserve">U financijskom izvještaju BILANCA na dan 31.12.2025. godine vidljivo je na kontu Poslovni objekti 0212 da je poslovna zgrada uključujući i dvorište u kojoj Dom za starije i nemoćne </w:t>
      </w:r>
      <w:r>
        <w:lastRenderedPageBreak/>
        <w:t>obavlja svoju djelatnost isknjižena iz osnovnih sredstava. Razlog navedenom je taj što je Požeško-slavonska županija kao osnivač Doma za starije i nemoćne osobe Požega vlasnik navedene nekretnine. Navedena nekretnina je pogrešno sve ove godine evidentirana kao imovina u popisu osnovnih sredstava, pa i u bilanci, a zapravo nikad nije bila vlasništvo Doma za starije i nemoćne osobe Požega. Dana 01.04.2025. godine Požeško-slavonska županija i Dom za starije i nemoćne osobe Požega sklopili su Ugovor o davanju na upravljanje i korištenje nekretnine, radi obavljanja poslova za koje je Dom za starije i nemoće osobe Požega registriran. Na temelju navedenog Ugovora predmetna nekretnina je isknjižena iz osnovnih sredstava jer se dotada vodila u popisu osnovnih sredstava Doma za starije i nemoćne osobe Požega i proknjižena izvanbilančno kao tuđa imovina dobivena na korištenje u vrijednosti od 4.142.809,74 EUR, a na temelju vrijednosti iskazanih u Kartici osnovnog sredstva Požeško-slavonske županije po kojoj vode predmetnu nekretninu u svojim poslovnim knjigama.</w:t>
      </w:r>
    </w:p>
    <w:p w14:paraId="7763C010" w14:textId="77777777" w:rsidR="00E22566" w:rsidRDefault="00E22566"/>
    <w:p w14:paraId="48CC2138" w14:textId="77777777" w:rsidR="00E22566"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2F940C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23417A"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93C0E3"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5B7697"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E16C8D"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0E3410"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F037A9" w14:textId="77777777" w:rsidR="00E22566" w:rsidRDefault="00000000">
            <w:pPr>
              <w:keepNext/>
              <w:keepLines/>
              <w:spacing w:after="0" w:line="240" w:lineRule="auto"/>
              <w:jc w:val="center"/>
            </w:pPr>
            <w:r>
              <w:rPr>
                <w:b/>
                <w:sz w:val="18"/>
              </w:rPr>
              <w:t>Indeks (%)</w:t>
            </w:r>
          </w:p>
        </w:tc>
      </w:tr>
      <w:tr w:rsidR="00E22566" w14:paraId="793DDE0E" w14:textId="77777777">
        <w:tblPrEx>
          <w:tblCellMar>
            <w:top w:w="0" w:type="dxa"/>
            <w:bottom w:w="0" w:type="dxa"/>
          </w:tblCellMar>
        </w:tblPrEx>
        <w:trPr>
          <w:cantSplit/>
          <w:trHeight w:val="560"/>
        </w:trPr>
        <w:tc>
          <w:tcPr>
            <w:tcW w:w="700" w:type="dxa"/>
            <w:tcMar>
              <w:top w:w="0" w:type="dxa"/>
              <w:bottom w:w="0" w:type="dxa"/>
            </w:tcMar>
            <w:vAlign w:val="center"/>
          </w:tcPr>
          <w:p w14:paraId="5DC2068B" w14:textId="77777777" w:rsidR="00E22566" w:rsidRDefault="00000000">
            <w:pPr>
              <w:keepNext/>
              <w:keepLines/>
              <w:spacing w:after="0" w:line="240" w:lineRule="auto"/>
            </w:pPr>
            <w:r>
              <w:rPr>
                <w:sz w:val="18"/>
              </w:rPr>
              <w:t>022 i 02922</w:t>
            </w:r>
          </w:p>
        </w:tc>
        <w:tc>
          <w:tcPr>
            <w:tcW w:w="3180" w:type="dxa"/>
            <w:tcMar>
              <w:top w:w="0" w:type="dxa"/>
              <w:bottom w:w="0" w:type="dxa"/>
            </w:tcMar>
            <w:vAlign w:val="center"/>
          </w:tcPr>
          <w:p w14:paraId="7781DFC7" w14:textId="77777777" w:rsidR="00E22566" w:rsidRDefault="00000000">
            <w:pPr>
              <w:keepNext/>
              <w:keepLines/>
              <w:spacing w:after="0" w:line="240" w:lineRule="auto"/>
            </w:pPr>
            <w:r>
              <w:rPr>
                <w:sz w:val="18"/>
              </w:rPr>
              <w:t>Postrojenja i oprema (šifre 0221 do 0228 - 02922)</w:t>
            </w:r>
          </w:p>
        </w:tc>
        <w:tc>
          <w:tcPr>
            <w:tcW w:w="700" w:type="dxa"/>
            <w:tcMar>
              <w:top w:w="0" w:type="dxa"/>
              <w:bottom w:w="0" w:type="dxa"/>
            </w:tcMar>
            <w:vAlign w:val="center"/>
          </w:tcPr>
          <w:p w14:paraId="4C72DAF7" w14:textId="77777777" w:rsidR="00E22566" w:rsidRDefault="00000000">
            <w:pPr>
              <w:keepNext/>
              <w:keepLines/>
              <w:spacing w:after="0" w:line="240" w:lineRule="auto"/>
            </w:pPr>
            <w:r>
              <w:rPr>
                <w:sz w:val="18"/>
              </w:rPr>
              <w:t>022 i 02922</w:t>
            </w:r>
          </w:p>
        </w:tc>
        <w:tc>
          <w:tcPr>
            <w:tcW w:w="1860" w:type="dxa"/>
            <w:tcMar>
              <w:top w:w="0" w:type="dxa"/>
              <w:bottom w:w="0" w:type="dxa"/>
            </w:tcMar>
            <w:vAlign w:val="center"/>
          </w:tcPr>
          <w:p w14:paraId="6D47115E" w14:textId="77777777" w:rsidR="00E22566" w:rsidRDefault="00000000">
            <w:pPr>
              <w:keepNext/>
              <w:keepLines/>
              <w:spacing w:after="0" w:line="240" w:lineRule="auto"/>
              <w:jc w:val="right"/>
            </w:pPr>
            <w:r>
              <w:rPr>
                <w:sz w:val="18"/>
              </w:rPr>
              <w:t>36.691,58</w:t>
            </w:r>
          </w:p>
        </w:tc>
        <w:tc>
          <w:tcPr>
            <w:tcW w:w="1860" w:type="dxa"/>
            <w:tcMar>
              <w:top w:w="0" w:type="dxa"/>
              <w:bottom w:w="0" w:type="dxa"/>
            </w:tcMar>
            <w:vAlign w:val="center"/>
          </w:tcPr>
          <w:p w14:paraId="5A72229B" w14:textId="77777777" w:rsidR="00E22566" w:rsidRDefault="00000000">
            <w:pPr>
              <w:keepNext/>
              <w:keepLines/>
              <w:spacing w:after="0" w:line="240" w:lineRule="auto"/>
              <w:jc w:val="right"/>
            </w:pPr>
            <w:r>
              <w:rPr>
                <w:sz w:val="18"/>
              </w:rPr>
              <w:t>71.170,39</w:t>
            </w:r>
          </w:p>
        </w:tc>
        <w:tc>
          <w:tcPr>
            <w:tcW w:w="700" w:type="dxa"/>
            <w:tcMar>
              <w:top w:w="0" w:type="dxa"/>
              <w:bottom w:w="0" w:type="dxa"/>
            </w:tcMar>
            <w:vAlign w:val="center"/>
          </w:tcPr>
          <w:p w14:paraId="67A67E08" w14:textId="77777777" w:rsidR="00E22566" w:rsidRDefault="00000000">
            <w:pPr>
              <w:keepNext/>
              <w:keepLines/>
              <w:spacing w:after="0" w:line="240" w:lineRule="auto"/>
              <w:jc w:val="right"/>
            </w:pPr>
            <w:r>
              <w:rPr>
                <w:sz w:val="18"/>
              </w:rPr>
              <w:t>194,0</w:t>
            </w:r>
          </w:p>
        </w:tc>
      </w:tr>
    </w:tbl>
    <w:p w14:paraId="557CC788" w14:textId="77777777" w:rsidR="00E22566" w:rsidRDefault="00E22566">
      <w:pPr>
        <w:spacing w:after="0"/>
      </w:pPr>
    </w:p>
    <w:p w14:paraId="2EFF7D68" w14:textId="77777777" w:rsidR="00E22566" w:rsidRDefault="00000000">
      <w:pPr>
        <w:jc w:val="both"/>
      </w:pPr>
      <w:r>
        <w:t>U financijskom izvještaju BILANCA na dan 31.12.2025. godine vidljivo je da je na kontu Postrojenja i oprema došlo je do povećanja vrijednosti za 94 % u odnosu na početno stanje jer su se tijekom 2025. godine nabavljale nove klime za stacionar Doma za starije i nemoćne osobe Požega (15 unutarnjih i 3 vanjske jedinice), 10 kom medicinskih kreveta, 33 kom medicinskih stolića za hranjenje i 2 perilice rublja (od čega je 1 profesionalna perilica rublja).</w:t>
      </w:r>
    </w:p>
    <w:p w14:paraId="1A7ABFD2" w14:textId="77777777" w:rsidR="00E22566" w:rsidRDefault="00000000">
      <w:r>
        <w:t>U tijeku 2025. godine dotrajana i rashodovana oprema, knjigovodstveno je otpisana u cijelosti, a na temelju Zapisnika komisije je sanirana na način da je predana ovlaštenim tvrtkama za odvoz i sanaciju otpada te je izvršeno isknjiženje.</w:t>
      </w:r>
    </w:p>
    <w:p w14:paraId="721DA83D" w14:textId="77777777" w:rsidR="00E22566" w:rsidRDefault="00000000">
      <w:r>
        <w:t>Na kraju 2025. godine obavljen je otpis dugotrajne imovine linearnom metodom otpisa gdje su primjenjene stope ispravka vrijednosti uređene Pravilnkom o proračunskom računovodstvu i računskom planu.</w:t>
      </w:r>
    </w:p>
    <w:p w14:paraId="76CC1AE7" w14:textId="77777777" w:rsidR="00E22566" w:rsidRDefault="00E22566"/>
    <w:p w14:paraId="0F30FBBE" w14:textId="77777777" w:rsidR="00E22566"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012966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366A2F"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9475D2"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78F6F2"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A66CEB"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AD4664"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724E10" w14:textId="77777777" w:rsidR="00E22566" w:rsidRDefault="00000000">
            <w:pPr>
              <w:keepNext/>
              <w:keepLines/>
              <w:spacing w:after="0" w:line="240" w:lineRule="auto"/>
              <w:jc w:val="center"/>
            </w:pPr>
            <w:r>
              <w:rPr>
                <w:b/>
                <w:sz w:val="18"/>
              </w:rPr>
              <w:t>Indeks (%)</w:t>
            </w:r>
          </w:p>
        </w:tc>
      </w:tr>
      <w:tr w:rsidR="00E22566" w14:paraId="029356FB" w14:textId="77777777">
        <w:tblPrEx>
          <w:tblCellMar>
            <w:top w:w="0" w:type="dxa"/>
            <w:bottom w:w="0" w:type="dxa"/>
          </w:tblCellMar>
        </w:tblPrEx>
        <w:trPr>
          <w:cantSplit/>
          <w:trHeight w:val="560"/>
        </w:trPr>
        <w:tc>
          <w:tcPr>
            <w:tcW w:w="700" w:type="dxa"/>
            <w:tcMar>
              <w:top w:w="0" w:type="dxa"/>
              <w:bottom w:w="0" w:type="dxa"/>
            </w:tcMar>
            <w:vAlign w:val="center"/>
          </w:tcPr>
          <w:p w14:paraId="2C436B34" w14:textId="77777777" w:rsidR="00E22566" w:rsidRDefault="00000000">
            <w:pPr>
              <w:keepNext/>
              <w:keepLines/>
              <w:spacing w:after="0" w:line="240" w:lineRule="auto"/>
            </w:pPr>
            <w:r>
              <w:rPr>
                <w:sz w:val="18"/>
              </w:rPr>
              <w:t>0223</w:t>
            </w:r>
          </w:p>
        </w:tc>
        <w:tc>
          <w:tcPr>
            <w:tcW w:w="3180" w:type="dxa"/>
            <w:tcMar>
              <w:top w:w="0" w:type="dxa"/>
              <w:bottom w:w="0" w:type="dxa"/>
            </w:tcMar>
            <w:vAlign w:val="center"/>
          </w:tcPr>
          <w:p w14:paraId="31748335" w14:textId="77777777" w:rsidR="00E22566"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5DDA5B03" w14:textId="77777777" w:rsidR="00E22566" w:rsidRDefault="00000000">
            <w:pPr>
              <w:keepNext/>
              <w:keepLines/>
              <w:spacing w:after="0" w:line="240" w:lineRule="auto"/>
            </w:pPr>
            <w:r>
              <w:rPr>
                <w:sz w:val="18"/>
              </w:rPr>
              <w:t>0223</w:t>
            </w:r>
          </w:p>
        </w:tc>
        <w:tc>
          <w:tcPr>
            <w:tcW w:w="1860" w:type="dxa"/>
            <w:tcMar>
              <w:top w:w="0" w:type="dxa"/>
              <w:bottom w:w="0" w:type="dxa"/>
            </w:tcMar>
            <w:vAlign w:val="center"/>
          </w:tcPr>
          <w:p w14:paraId="1CE2609D" w14:textId="77777777" w:rsidR="00E22566" w:rsidRDefault="00000000">
            <w:pPr>
              <w:keepNext/>
              <w:keepLines/>
              <w:spacing w:after="0" w:line="240" w:lineRule="auto"/>
              <w:jc w:val="right"/>
            </w:pPr>
            <w:r>
              <w:rPr>
                <w:sz w:val="18"/>
              </w:rPr>
              <w:t>58.246,75</w:t>
            </w:r>
          </w:p>
        </w:tc>
        <w:tc>
          <w:tcPr>
            <w:tcW w:w="1860" w:type="dxa"/>
            <w:tcMar>
              <w:top w:w="0" w:type="dxa"/>
              <w:bottom w:w="0" w:type="dxa"/>
            </w:tcMar>
            <w:vAlign w:val="center"/>
          </w:tcPr>
          <w:p w14:paraId="33A13303" w14:textId="77777777" w:rsidR="00E22566" w:rsidRDefault="00000000">
            <w:pPr>
              <w:keepNext/>
              <w:keepLines/>
              <w:spacing w:after="0" w:line="240" w:lineRule="auto"/>
              <w:jc w:val="right"/>
            </w:pPr>
            <w:r>
              <w:rPr>
                <w:sz w:val="18"/>
              </w:rPr>
              <w:t>76.036,21</w:t>
            </w:r>
          </w:p>
        </w:tc>
        <w:tc>
          <w:tcPr>
            <w:tcW w:w="700" w:type="dxa"/>
            <w:tcMar>
              <w:top w:w="0" w:type="dxa"/>
              <w:bottom w:w="0" w:type="dxa"/>
            </w:tcMar>
            <w:vAlign w:val="center"/>
          </w:tcPr>
          <w:p w14:paraId="4A2EDAF9" w14:textId="77777777" w:rsidR="00E22566" w:rsidRDefault="00000000">
            <w:pPr>
              <w:keepNext/>
              <w:keepLines/>
              <w:spacing w:after="0" w:line="240" w:lineRule="auto"/>
              <w:jc w:val="right"/>
            </w:pPr>
            <w:r>
              <w:rPr>
                <w:sz w:val="18"/>
              </w:rPr>
              <w:t>130,5</w:t>
            </w:r>
          </w:p>
        </w:tc>
      </w:tr>
    </w:tbl>
    <w:p w14:paraId="697C8A76" w14:textId="77777777" w:rsidR="00E22566" w:rsidRDefault="00E22566">
      <w:pPr>
        <w:spacing w:after="0"/>
      </w:pPr>
    </w:p>
    <w:p w14:paraId="69D8C24F" w14:textId="77777777" w:rsidR="00E22566" w:rsidRDefault="00000000">
      <w:pPr>
        <w:jc w:val="both"/>
      </w:pPr>
      <w:r>
        <w:t>Na kontu 0223 Oprema za održavanje i zaštitu došlo je do povećanja vrijednosti za 30,5 % u odnosu na stanje 01. siječnja 2025. godine iz razloga što su se nabavljale nove klime za stacionar Doma za starije i nemoćne osobe Požega – 15 unutarnjih i 3 vanjske jedinice klime.</w:t>
      </w:r>
    </w:p>
    <w:p w14:paraId="3BA341B1" w14:textId="77777777" w:rsidR="00E22566" w:rsidRDefault="00E22566"/>
    <w:p w14:paraId="011BF9D9" w14:textId="77777777" w:rsidR="00E22566"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2D0609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4CA571"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73AEF3"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0B8FE1"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9BAD0A"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4A2DAD"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C725E9" w14:textId="77777777" w:rsidR="00E22566" w:rsidRDefault="00000000">
            <w:pPr>
              <w:keepNext/>
              <w:keepLines/>
              <w:spacing w:after="0" w:line="240" w:lineRule="auto"/>
              <w:jc w:val="center"/>
            </w:pPr>
            <w:r>
              <w:rPr>
                <w:b/>
                <w:sz w:val="18"/>
              </w:rPr>
              <w:t>Indeks (%)</w:t>
            </w:r>
          </w:p>
        </w:tc>
      </w:tr>
      <w:tr w:rsidR="00E22566" w14:paraId="3CF2EF9C" w14:textId="77777777">
        <w:tblPrEx>
          <w:tblCellMar>
            <w:top w:w="0" w:type="dxa"/>
            <w:bottom w:w="0" w:type="dxa"/>
          </w:tblCellMar>
        </w:tblPrEx>
        <w:trPr>
          <w:cantSplit/>
          <w:trHeight w:val="560"/>
        </w:trPr>
        <w:tc>
          <w:tcPr>
            <w:tcW w:w="700" w:type="dxa"/>
            <w:tcMar>
              <w:top w:w="0" w:type="dxa"/>
              <w:bottom w:w="0" w:type="dxa"/>
            </w:tcMar>
            <w:vAlign w:val="center"/>
          </w:tcPr>
          <w:p w14:paraId="5BB5B2FD" w14:textId="77777777" w:rsidR="00E22566" w:rsidRDefault="00000000">
            <w:pPr>
              <w:keepNext/>
              <w:keepLines/>
              <w:spacing w:after="0" w:line="240" w:lineRule="auto"/>
            </w:pPr>
            <w:r>
              <w:rPr>
                <w:sz w:val="18"/>
              </w:rPr>
              <w:t>0224</w:t>
            </w:r>
          </w:p>
        </w:tc>
        <w:tc>
          <w:tcPr>
            <w:tcW w:w="3180" w:type="dxa"/>
            <w:tcMar>
              <w:top w:w="0" w:type="dxa"/>
              <w:bottom w:w="0" w:type="dxa"/>
            </w:tcMar>
            <w:vAlign w:val="center"/>
          </w:tcPr>
          <w:p w14:paraId="64A071DE" w14:textId="77777777" w:rsidR="00E22566" w:rsidRDefault="00000000">
            <w:pPr>
              <w:keepNext/>
              <w:keepLines/>
              <w:spacing w:after="0" w:line="240" w:lineRule="auto"/>
            </w:pPr>
            <w:r>
              <w:rPr>
                <w:sz w:val="18"/>
              </w:rPr>
              <w:t>Medicinska i laboratorijska oprema</w:t>
            </w:r>
          </w:p>
        </w:tc>
        <w:tc>
          <w:tcPr>
            <w:tcW w:w="700" w:type="dxa"/>
            <w:tcMar>
              <w:top w:w="0" w:type="dxa"/>
              <w:bottom w:w="0" w:type="dxa"/>
            </w:tcMar>
            <w:vAlign w:val="center"/>
          </w:tcPr>
          <w:p w14:paraId="7A3D494E" w14:textId="77777777" w:rsidR="00E22566" w:rsidRDefault="00000000">
            <w:pPr>
              <w:keepNext/>
              <w:keepLines/>
              <w:spacing w:after="0" w:line="240" w:lineRule="auto"/>
            </w:pPr>
            <w:r>
              <w:rPr>
                <w:sz w:val="18"/>
              </w:rPr>
              <w:t>0224</w:t>
            </w:r>
          </w:p>
        </w:tc>
        <w:tc>
          <w:tcPr>
            <w:tcW w:w="1860" w:type="dxa"/>
            <w:tcMar>
              <w:top w:w="0" w:type="dxa"/>
              <w:bottom w:w="0" w:type="dxa"/>
            </w:tcMar>
            <w:vAlign w:val="center"/>
          </w:tcPr>
          <w:p w14:paraId="1C32389D" w14:textId="77777777" w:rsidR="00E22566" w:rsidRDefault="00000000">
            <w:pPr>
              <w:keepNext/>
              <w:keepLines/>
              <w:spacing w:after="0" w:line="240" w:lineRule="auto"/>
              <w:jc w:val="right"/>
            </w:pPr>
            <w:r>
              <w:rPr>
                <w:sz w:val="18"/>
              </w:rPr>
              <w:t>53.377,45</w:t>
            </w:r>
          </w:p>
        </w:tc>
        <w:tc>
          <w:tcPr>
            <w:tcW w:w="1860" w:type="dxa"/>
            <w:tcMar>
              <w:top w:w="0" w:type="dxa"/>
              <w:bottom w:w="0" w:type="dxa"/>
            </w:tcMar>
            <w:vAlign w:val="center"/>
          </w:tcPr>
          <w:p w14:paraId="4DB29B80" w14:textId="77777777" w:rsidR="00E22566" w:rsidRDefault="00000000">
            <w:pPr>
              <w:keepNext/>
              <w:keepLines/>
              <w:spacing w:after="0" w:line="240" w:lineRule="auto"/>
              <w:jc w:val="right"/>
            </w:pPr>
            <w:r>
              <w:rPr>
                <w:sz w:val="18"/>
              </w:rPr>
              <w:t>65.426,55</w:t>
            </w:r>
          </w:p>
        </w:tc>
        <w:tc>
          <w:tcPr>
            <w:tcW w:w="700" w:type="dxa"/>
            <w:tcMar>
              <w:top w:w="0" w:type="dxa"/>
              <w:bottom w:w="0" w:type="dxa"/>
            </w:tcMar>
            <w:vAlign w:val="center"/>
          </w:tcPr>
          <w:p w14:paraId="58046DBE" w14:textId="77777777" w:rsidR="00E22566" w:rsidRDefault="00000000">
            <w:pPr>
              <w:keepNext/>
              <w:keepLines/>
              <w:spacing w:after="0" w:line="240" w:lineRule="auto"/>
              <w:jc w:val="right"/>
            </w:pPr>
            <w:r>
              <w:rPr>
                <w:sz w:val="18"/>
              </w:rPr>
              <w:t>122,6</w:t>
            </w:r>
          </w:p>
        </w:tc>
      </w:tr>
    </w:tbl>
    <w:p w14:paraId="4EDF087D" w14:textId="77777777" w:rsidR="00E22566" w:rsidRDefault="00E22566">
      <w:pPr>
        <w:spacing w:after="0"/>
      </w:pPr>
    </w:p>
    <w:p w14:paraId="5D5594ED" w14:textId="77777777" w:rsidR="00E22566" w:rsidRDefault="00000000">
      <w:pPr>
        <w:jc w:val="both"/>
      </w:pPr>
      <w:r>
        <w:t>Na kontu 0224 Medicinska i labaratorijska oprema došlo je do povećanja vrijednosti za 22,6% u odnosu na stanje 01. siječnja 2025. godine iz razloga što se nabavilo 10 kom novih medicinskih kreveta i 33 kom medicinskih stolića za hranjenje.</w:t>
      </w:r>
    </w:p>
    <w:p w14:paraId="373F290E" w14:textId="77777777" w:rsidR="00E22566" w:rsidRDefault="00E22566"/>
    <w:p w14:paraId="0D16D994" w14:textId="77777777" w:rsidR="00E22566"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584AE3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A5ADED"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0E288D"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367FB0"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CD744E"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F3A75B"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06831CA" w14:textId="77777777" w:rsidR="00E22566" w:rsidRDefault="00000000">
            <w:pPr>
              <w:keepNext/>
              <w:keepLines/>
              <w:spacing w:after="0" w:line="240" w:lineRule="auto"/>
              <w:jc w:val="center"/>
            </w:pPr>
            <w:r>
              <w:rPr>
                <w:b/>
                <w:sz w:val="18"/>
              </w:rPr>
              <w:t>Indeks (%)</w:t>
            </w:r>
          </w:p>
        </w:tc>
      </w:tr>
      <w:tr w:rsidR="00E22566" w14:paraId="33688033" w14:textId="77777777">
        <w:tblPrEx>
          <w:tblCellMar>
            <w:top w:w="0" w:type="dxa"/>
            <w:bottom w:w="0" w:type="dxa"/>
          </w:tblCellMar>
        </w:tblPrEx>
        <w:trPr>
          <w:cantSplit/>
          <w:trHeight w:val="560"/>
        </w:trPr>
        <w:tc>
          <w:tcPr>
            <w:tcW w:w="700" w:type="dxa"/>
            <w:tcMar>
              <w:top w:w="0" w:type="dxa"/>
              <w:bottom w:w="0" w:type="dxa"/>
            </w:tcMar>
            <w:vAlign w:val="center"/>
          </w:tcPr>
          <w:p w14:paraId="4BFC27E6" w14:textId="77777777" w:rsidR="00E22566" w:rsidRDefault="00000000">
            <w:pPr>
              <w:keepNext/>
              <w:keepLines/>
              <w:spacing w:after="0" w:line="240" w:lineRule="auto"/>
            </w:pPr>
            <w:r>
              <w:rPr>
                <w:sz w:val="18"/>
              </w:rPr>
              <w:t>11</w:t>
            </w:r>
          </w:p>
        </w:tc>
        <w:tc>
          <w:tcPr>
            <w:tcW w:w="3180" w:type="dxa"/>
            <w:tcMar>
              <w:top w:w="0" w:type="dxa"/>
              <w:bottom w:w="0" w:type="dxa"/>
            </w:tcMar>
            <w:vAlign w:val="center"/>
          </w:tcPr>
          <w:p w14:paraId="239377C0" w14:textId="77777777" w:rsidR="00E22566"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6B65C861" w14:textId="77777777" w:rsidR="00E22566" w:rsidRDefault="00000000">
            <w:pPr>
              <w:keepNext/>
              <w:keepLines/>
              <w:spacing w:after="0" w:line="240" w:lineRule="auto"/>
            </w:pPr>
            <w:r>
              <w:rPr>
                <w:sz w:val="18"/>
              </w:rPr>
              <w:t>11</w:t>
            </w:r>
          </w:p>
        </w:tc>
        <w:tc>
          <w:tcPr>
            <w:tcW w:w="1860" w:type="dxa"/>
            <w:tcMar>
              <w:top w:w="0" w:type="dxa"/>
              <w:bottom w:w="0" w:type="dxa"/>
            </w:tcMar>
            <w:vAlign w:val="center"/>
          </w:tcPr>
          <w:p w14:paraId="3AC523F4" w14:textId="77777777" w:rsidR="00E22566" w:rsidRDefault="00000000">
            <w:pPr>
              <w:keepNext/>
              <w:keepLines/>
              <w:spacing w:after="0" w:line="240" w:lineRule="auto"/>
              <w:jc w:val="right"/>
            </w:pPr>
            <w:r>
              <w:rPr>
                <w:sz w:val="18"/>
              </w:rPr>
              <w:t>108.165,11</w:t>
            </w:r>
          </w:p>
        </w:tc>
        <w:tc>
          <w:tcPr>
            <w:tcW w:w="1860" w:type="dxa"/>
            <w:tcMar>
              <w:top w:w="0" w:type="dxa"/>
              <w:bottom w:w="0" w:type="dxa"/>
            </w:tcMar>
            <w:vAlign w:val="center"/>
          </w:tcPr>
          <w:p w14:paraId="38012514" w14:textId="77777777" w:rsidR="00E22566" w:rsidRDefault="00000000">
            <w:pPr>
              <w:keepNext/>
              <w:keepLines/>
              <w:spacing w:after="0" w:line="240" w:lineRule="auto"/>
              <w:jc w:val="right"/>
            </w:pPr>
            <w:r>
              <w:rPr>
                <w:sz w:val="18"/>
              </w:rPr>
              <w:t>83.419,84</w:t>
            </w:r>
          </w:p>
        </w:tc>
        <w:tc>
          <w:tcPr>
            <w:tcW w:w="700" w:type="dxa"/>
            <w:tcMar>
              <w:top w:w="0" w:type="dxa"/>
              <w:bottom w:w="0" w:type="dxa"/>
            </w:tcMar>
            <w:vAlign w:val="center"/>
          </w:tcPr>
          <w:p w14:paraId="1EF83726" w14:textId="77777777" w:rsidR="00E22566" w:rsidRDefault="00000000">
            <w:pPr>
              <w:keepNext/>
              <w:keepLines/>
              <w:spacing w:after="0" w:line="240" w:lineRule="auto"/>
              <w:jc w:val="right"/>
            </w:pPr>
            <w:r>
              <w:rPr>
                <w:sz w:val="18"/>
              </w:rPr>
              <w:t>77,1</w:t>
            </w:r>
          </w:p>
        </w:tc>
      </w:tr>
    </w:tbl>
    <w:p w14:paraId="4B0B04BC" w14:textId="77777777" w:rsidR="00E22566" w:rsidRDefault="00E22566">
      <w:pPr>
        <w:spacing w:after="0"/>
      </w:pPr>
    </w:p>
    <w:p w14:paraId="00C182D5" w14:textId="77777777" w:rsidR="00E22566" w:rsidRDefault="00000000">
      <w:pPr>
        <w:jc w:val="both"/>
      </w:pPr>
      <w:r>
        <w:t>Novac u banci i blagajni (11) bilježi smanjenje na dan 31.12.2025. godine u odnosu na početak godine, a ovisi i varira o podmirenju obveza i ostvarenju prihoda. Sredstva na računu su za pokriće nedospjelih obveza.</w:t>
      </w:r>
    </w:p>
    <w:p w14:paraId="1AC4D363" w14:textId="77777777" w:rsidR="00E22566" w:rsidRDefault="00E22566"/>
    <w:p w14:paraId="0BEE44AD" w14:textId="77777777" w:rsidR="00E22566"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0FFD74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CD594E"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E7ED3A"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848ACE"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CDFEA4"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AEB284"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036319" w14:textId="77777777" w:rsidR="00E22566" w:rsidRDefault="00000000">
            <w:pPr>
              <w:keepNext/>
              <w:keepLines/>
              <w:spacing w:after="0" w:line="240" w:lineRule="auto"/>
              <w:jc w:val="center"/>
            </w:pPr>
            <w:r>
              <w:rPr>
                <w:b/>
                <w:sz w:val="18"/>
              </w:rPr>
              <w:t>Indeks (%)</w:t>
            </w:r>
          </w:p>
        </w:tc>
      </w:tr>
      <w:tr w:rsidR="00E22566" w14:paraId="449E3C10" w14:textId="77777777">
        <w:tblPrEx>
          <w:tblCellMar>
            <w:top w:w="0" w:type="dxa"/>
            <w:bottom w:w="0" w:type="dxa"/>
          </w:tblCellMar>
        </w:tblPrEx>
        <w:trPr>
          <w:cantSplit/>
          <w:trHeight w:val="560"/>
        </w:trPr>
        <w:tc>
          <w:tcPr>
            <w:tcW w:w="700" w:type="dxa"/>
            <w:tcMar>
              <w:top w:w="0" w:type="dxa"/>
              <w:bottom w:w="0" w:type="dxa"/>
            </w:tcMar>
            <w:vAlign w:val="center"/>
          </w:tcPr>
          <w:p w14:paraId="09655200" w14:textId="77777777" w:rsidR="00E22566" w:rsidRDefault="00000000">
            <w:pPr>
              <w:keepNext/>
              <w:keepLines/>
              <w:spacing w:after="0" w:line="240" w:lineRule="auto"/>
            </w:pPr>
            <w:r>
              <w:rPr>
                <w:sz w:val="18"/>
              </w:rPr>
              <w:t>129</w:t>
            </w:r>
          </w:p>
        </w:tc>
        <w:tc>
          <w:tcPr>
            <w:tcW w:w="3180" w:type="dxa"/>
            <w:tcMar>
              <w:top w:w="0" w:type="dxa"/>
              <w:bottom w:w="0" w:type="dxa"/>
            </w:tcMar>
            <w:vAlign w:val="center"/>
          </w:tcPr>
          <w:p w14:paraId="0F079169" w14:textId="77777777" w:rsidR="00E22566" w:rsidRDefault="00000000">
            <w:pPr>
              <w:keepNext/>
              <w:keepLines/>
              <w:spacing w:after="0" w:line="240" w:lineRule="auto"/>
            </w:pPr>
            <w:r>
              <w:rPr>
                <w:sz w:val="18"/>
              </w:rPr>
              <w:t>Ostala potraživanja</w:t>
            </w:r>
          </w:p>
        </w:tc>
        <w:tc>
          <w:tcPr>
            <w:tcW w:w="700" w:type="dxa"/>
            <w:tcMar>
              <w:top w:w="0" w:type="dxa"/>
              <w:bottom w:w="0" w:type="dxa"/>
            </w:tcMar>
            <w:vAlign w:val="center"/>
          </w:tcPr>
          <w:p w14:paraId="30622098" w14:textId="77777777" w:rsidR="00E22566" w:rsidRDefault="00000000">
            <w:pPr>
              <w:keepNext/>
              <w:keepLines/>
              <w:spacing w:after="0" w:line="240" w:lineRule="auto"/>
            </w:pPr>
            <w:r>
              <w:rPr>
                <w:sz w:val="18"/>
              </w:rPr>
              <w:t>129</w:t>
            </w:r>
          </w:p>
        </w:tc>
        <w:tc>
          <w:tcPr>
            <w:tcW w:w="1860" w:type="dxa"/>
            <w:tcMar>
              <w:top w:w="0" w:type="dxa"/>
              <w:bottom w:w="0" w:type="dxa"/>
            </w:tcMar>
            <w:vAlign w:val="center"/>
          </w:tcPr>
          <w:p w14:paraId="3F892A94" w14:textId="77777777" w:rsidR="00E22566" w:rsidRDefault="00000000">
            <w:pPr>
              <w:keepNext/>
              <w:keepLines/>
              <w:spacing w:after="0" w:line="240" w:lineRule="auto"/>
              <w:jc w:val="right"/>
            </w:pPr>
            <w:r>
              <w:rPr>
                <w:sz w:val="18"/>
              </w:rPr>
              <w:t>5.351,91</w:t>
            </w:r>
          </w:p>
        </w:tc>
        <w:tc>
          <w:tcPr>
            <w:tcW w:w="1860" w:type="dxa"/>
            <w:tcMar>
              <w:top w:w="0" w:type="dxa"/>
              <w:bottom w:w="0" w:type="dxa"/>
            </w:tcMar>
            <w:vAlign w:val="center"/>
          </w:tcPr>
          <w:p w14:paraId="0C3354EC" w14:textId="77777777" w:rsidR="00E22566" w:rsidRDefault="00000000">
            <w:pPr>
              <w:keepNext/>
              <w:keepLines/>
              <w:spacing w:after="0" w:line="240" w:lineRule="auto"/>
              <w:jc w:val="right"/>
            </w:pPr>
            <w:r>
              <w:rPr>
                <w:sz w:val="18"/>
              </w:rPr>
              <w:t>7.643,38</w:t>
            </w:r>
          </w:p>
        </w:tc>
        <w:tc>
          <w:tcPr>
            <w:tcW w:w="700" w:type="dxa"/>
            <w:tcMar>
              <w:top w:w="0" w:type="dxa"/>
              <w:bottom w:w="0" w:type="dxa"/>
            </w:tcMar>
            <w:vAlign w:val="center"/>
          </w:tcPr>
          <w:p w14:paraId="284D9D74" w14:textId="77777777" w:rsidR="00E22566" w:rsidRDefault="00000000">
            <w:pPr>
              <w:keepNext/>
              <w:keepLines/>
              <w:spacing w:after="0" w:line="240" w:lineRule="auto"/>
              <w:jc w:val="right"/>
            </w:pPr>
            <w:r>
              <w:rPr>
                <w:sz w:val="18"/>
              </w:rPr>
              <w:t>142,8</w:t>
            </w:r>
          </w:p>
        </w:tc>
      </w:tr>
    </w:tbl>
    <w:p w14:paraId="05731240" w14:textId="77777777" w:rsidR="00E22566" w:rsidRDefault="00E22566">
      <w:pPr>
        <w:spacing w:after="0"/>
      </w:pPr>
    </w:p>
    <w:p w14:paraId="2A8FCBF6" w14:textId="77777777" w:rsidR="00E22566" w:rsidRDefault="00000000">
      <w:r>
        <w:t>Na kontu 129 Ostala potraživanja u iznosu od 7.643,38 su evidentirane naknade koje se refundiraju od strane HZZO.</w:t>
      </w:r>
    </w:p>
    <w:p w14:paraId="6990645F" w14:textId="77777777" w:rsidR="00E22566" w:rsidRDefault="00E22566"/>
    <w:p w14:paraId="63677FB4" w14:textId="77777777" w:rsidR="00E22566"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12B12F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9B0B83"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156261"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6BE926"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DC1C57"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37FEAA"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31770E" w14:textId="77777777" w:rsidR="00E22566" w:rsidRDefault="00000000">
            <w:pPr>
              <w:keepNext/>
              <w:keepLines/>
              <w:spacing w:after="0" w:line="240" w:lineRule="auto"/>
              <w:jc w:val="center"/>
            </w:pPr>
            <w:r>
              <w:rPr>
                <w:b/>
                <w:sz w:val="18"/>
              </w:rPr>
              <w:t>Indeks (%)</w:t>
            </w:r>
          </w:p>
        </w:tc>
      </w:tr>
      <w:tr w:rsidR="00E22566" w14:paraId="09030EBE" w14:textId="77777777">
        <w:tblPrEx>
          <w:tblCellMar>
            <w:top w:w="0" w:type="dxa"/>
            <w:bottom w:w="0" w:type="dxa"/>
          </w:tblCellMar>
        </w:tblPrEx>
        <w:trPr>
          <w:cantSplit/>
          <w:trHeight w:val="560"/>
        </w:trPr>
        <w:tc>
          <w:tcPr>
            <w:tcW w:w="700" w:type="dxa"/>
            <w:tcMar>
              <w:top w:w="0" w:type="dxa"/>
              <w:bottom w:w="0" w:type="dxa"/>
            </w:tcMar>
            <w:vAlign w:val="center"/>
          </w:tcPr>
          <w:p w14:paraId="32866B68" w14:textId="77777777" w:rsidR="00E22566" w:rsidRDefault="00000000">
            <w:pPr>
              <w:keepNext/>
              <w:keepLines/>
              <w:spacing w:after="0" w:line="240" w:lineRule="auto"/>
            </w:pPr>
            <w:r>
              <w:rPr>
                <w:sz w:val="18"/>
              </w:rPr>
              <w:t>165</w:t>
            </w:r>
          </w:p>
        </w:tc>
        <w:tc>
          <w:tcPr>
            <w:tcW w:w="3180" w:type="dxa"/>
            <w:tcMar>
              <w:top w:w="0" w:type="dxa"/>
              <w:bottom w:w="0" w:type="dxa"/>
            </w:tcMar>
            <w:vAlign w:val="center"/>
          </w:tcPr>
          <w:p w14:paraId="69D3561C" w14:textId="77777777" w:rsidR="00E22566"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6B9B6E80" w14:textId="77777777" w:rsidR="00E22566" w:rsidRDefault="00000000">
            <w:pPr>
              <w:keepNext/>
              <w:keepLines/>
              <w:spacing w:after="0" w:line="240" w:lineRule="auto"/>
            </w:pPr>
            <w:r>
              <w:rPr>
                <w:sz w:val="18"/>
              </w:rPr>
              <w:t>165</w:t>
            </w:r>
          </w:p>
        </w:tc>
        <w:tc>
          <w:tcPr>
            <w:tcW w:w="1860" w:type="dxa"/>
            <w:tcMar>
              <w:top w:w="0" w:type="dxa"/>
              <w:bottom w:w="0" w:type="dxa"/>
            </w:tcMar>
            <w:vAlign w:val="center"/>
          </w:tcPr>
          <w:p w14:paraId="44EB07C8" w14:textId="77777777" w:rsidR="00E22566" w:rsidRDefault="00000000">
            <w:pPr>
              <w:keepNext/>
              <w:keepLines/>
              <w:spacing w:after="0" w:line="240" w:lineRule="auto"/>
              <w:jc w:val="right"/>
            </w:pPr>
            <w:r>
              <w:rPr>
                <w:sz w:val="18"/>
              </w:rPr>
              <w:t>35.355,36</w:t>
            </w:r>
          </w:p>
        </w:tc>
        <w:tc>
          <w:tcPr>
            <w:tcW w:w="1860" w:type="dxa"/>
            <w:tcMar>
              <w:top w:w="0" w:type="dxa"/>
              <w:bottom w:w="0" w:type="dxa"/>
            </w:tcMar>
            <w:vAlign w:val="center"/>
          </w:tcPr>
          <w:p w14:paraId="07965110" w14:textId="77777777" w:rsidR="00E22566" w:rsidRDefault="00000000">
            <w:pPr>
              <w:keepNext/>
              <w:keepLines/>
              <w:spacing w:after="0" w:line="240" w:lineRule="auto"/>
              <w:jc w:val="right"/>
            </w:pPr>
            <w:r>
              <w:rPr>
                <w:sz w:val="18"/>
              </w:rPr>
              <w:t>25.722,52</w:t>
            </w:r>
          </w:p>
        </w:tc>
        <w:tc>
          <w:tcPr>
            <w:tcW w:w="700" w:type="dxa"/>
            <w:tcMar>
              <w:top w:w="0" w:type="dxa"/>
              <w:bottom w:w="0" w:type="dxa"/>
            </w:tcMar>
            <w:vAlign w:val="center"/>
          </w:tcPr>
          <w:p w14:paraId="2CB07847" w14:textId="77777777" w:rsidR="00E22566" w:rsidRDefault="00000000">
            <w:pPr>
              <w:keepNext/>
              <w:keepLines/>
              <w:spacing w:after="0" w:line="240" w:lineRule="auto"/>
              <w:jc w:val="right"/>
            </w:pPr>
            <w:r>
              <w:rPr>
                <w:sz w:val="18"/>
              </w:rPr>
              <w:t>72,8</w:t>
            </w:r>
          </w:p>
        </w:tc>
      </w:tr>
    </w:tbl>
    <w:p w14:paraId="5559456C" w14:textId="77777777" w:rsidR="00E22566" w:rsidRDefault="00E22566">
      <w:pPr>
        <w:spacing w:after="0"/>
      </w:pPr>
    </w:p>
    <w:p w14:paraId="5CC91520" w14:textId="77777777" w:rsidR="00E22566" w:rsidRDefault="00000000">
      <w:pPr>
        <w:jc w:val="both"/>
      </w:pPr>
      <w:r>
        <w:t xml:space="preserve">U izvještajnom razdoblju na konto 165 Potraživanja za upravne i administrativne pristojbe, pristojbe po posebnim propisima i naknade tijekom izvještajnog razdoblja je knjiženo </w:t>
      </w:r>
      <w:r>
        <w:lastRenderedPageBreak/>
        <w:t>25.722,52 EUR, a što se odnosi na potraživanja za prihode od opskrbnina i participacija od korisnika usluga, potraživanja za prihode od pruženih usluga pomoći u kući i potraživanja od Ministarstva za korisnike kojima se pruža usluga smještaja temeljem rješenja Hrvatskog zavoda za socijalnu skrb.</w:t>
      </w:r>
    </w:p>
    <w:p w14:paraId="293C651D" w14:textId="77777777" w:rsidR="00E22566" w:rsidRDefault="00E22566"/>
    <w:p w14:paraId="0CFFC003" w14:textId="77777777" w:rsidR="00E22566"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0D31A0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75E897"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68B6DC"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3BCCC5"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2B79E9"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F0990A"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2BF3B8" w14:textId="77777777" w:rsidR="00E22566" w:rsidRDefault="00000000">
            <w:pPr>
              <w:keepNext/>
              <w:keepLines/>
              <w:spacing w:after="0" w:line="240" w:lineRule="auto"/>
              <w:jc w:val="center"/>
            </w:pPr>
            <w:r>
              <w:rPr>
                <w:b/>
                <w:sz w:val="18"/>
              </w:rPr>
              <w:t>Indeks (%)</w:t>
            </w:r>
          </w:p>
        </w:tc>
      </w:tr>
      <w:tr w:rsidR="00E22566" w14:paraId="5F59BABE" w14:textId="77777777">
        <w:tblPrEx>
          <w:tblCellMar>
            <w:top w:w="0" w:type="dxa"/>
            <w:bottom w:w="0" w:type="dxa"/>
          </w:tblCellMar>
        </w:tblPrEx>
        <w:trPr>
          <w:cantSplit/>
          <w:trHeight w:val="560"/>
        </w:trPr>
        <w:tc>
          <w:tcPr>
            <w:tcW w:w="700" w:type="dxa"/>
            <w:tcMar>
              <w:top w:w="0" w:type="dxa"/>
              <w:bottom w:w="0" w:type="dxa"/>
            </w:tcMar>
            <w:vAlign w:val="center"/>
          </w:tcPr>
          <w:p w14:paraId="43EA1339" w14:textId="77777777" w:rsidR="00E22566" w:rsidRDefault="00000000">
            <w:pPr>
              <w:keepNext/>
              <w:keepLines/>
              <w:spacing w:after="0" w:line="240" w:lineRule="auto"/>
            </w:pPr>
            <w:r>
              <w:rPr>
                <w:sz w:val="18"/>
              </w:rPr>
              <w:t>166</w:t>
            </w:r>
          </w:p>
        </w:tc>
        <w:tc>
          <w:tcPr>
            <w:tcW w:w="3180" w:type="dxa"/>
            <w:tcMar>
              <w:top w:w="0" w:type="dxa"/>
              <w:bottom w:w="0" w:type="dxa"/>
            </w:tcMar>
            <w:vAlign w:val="center"/>
          </w:tcPr>
          <w:p w14:paraId="05F05A29" w14:textId="77777777" w:rsidR="00E22566"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70BF924F" w14:textId="77777777" w:rsidR="00E22566" w:rsidRDefault="00000000">
            <w:pPr>
              <w:keepNext/>
              <w:keepLines/>
              <w:spacing w:after="0" w:line="240" w:lineRule="auto"/>
            </w:pPr>
            <w:r>
              <w:rPr>
                <w:sz w:val="18"/>
              </w:rPr>
              <w:t>166</w:t>
            </w:r>
          </w:p>
        </w:tc>
        <w:tc>
          <w:tcPr>
            <w:tcW w:w="1860" w:type="dxa"/>
            <w:tcMar>
              <w:top w:w="0" w:type="dxa"/>
              <w:bottom w:w="0" w:type="dxa"/>
            </w:tcMar>
            <w:vAlign w:val="center"/>
          </w:tcPr>
          <w:p w14:paraId="005CE27B" w14:textId="77777777" w:rsidR="00E22566" w:rsidRDefault="00000000">
            <w:pPr>
              <w:keepNext/>
              <w:keepLines/>
              <w:spacing w:after="0" w:line="240" w:lineRule="auto"/>
              <w:jc w:val="right"/>
            </w:pPr>
            <w:r>
              <w:rPr>
                <w:sz w:val="18"/>
              </w:rPr>
              <w:t>172,90</w:t>
            </w:r>
          </w:p>
        </w:tc>
        <w:tc>
          <w:tcPr>
            <w:tcW w:w="1860" w:type="dxa"/>
            <w:tcMar>
              <w:top w:w="0" w:type="dxa"/>
              <w:bottom w:w="0" w:type="dxa"/>
            </w:tcMar>
            <w:vAlign w:val="center"/>
          </w:tcPr>
          <w:p w14:paraId="06692CE1" w14:textId="77777777" w:rsidR="00E22566" w:rsidRDefault="00000000">
            <w:pPr>
              <w:keepNext/>
              <w:keepLines/>
              <w:spacing w:after="0" w:line="240" w:lineRule="auto"/>
              <w:jc w:val="right"/>
            </w:pPr>
            <w:r>
              <w:rPr>
                <w:sz w:val="18"/>
              </w:rPr>
              <w:t>212,91</w:t>
            </w:r>
          </w:p>
        </w:tc>
        <w:tc>
          <w:tcPr>
            <w:tcW w:w="700" w:type="dxa"/>
            <w:tcMar>
              <w:top w:w="0" w:type="dxa"/>
              <w:bottom w:w="0" w:type="dxa"/>
            </w:tcMar>
            <w:vAlign w:val="center"/>
          </w:tcPr>
          <w:p w14:paraId="0BEB5CF4" w14:textId="77777777" w:rsidR="00E22566" w:rsidRDefault="00000000">
            <w:pPr>
              <w:keepNext/>
              <w:keepLines/>
              <w:spacing w:after="0" w:line="240" w:lineRule="auto"/>
              <w:jc w:val="right"/>
            </w:pPr>
            <w:r>
              <w:rPr>
                <w:sz w:val="18"/>
              </w:rPr>
              <w:t>123,1</w:t>
            </w:r>
          </w:p>
        </w:tc>
      </w:tr>
    </w:tbl>
    <w:p w14:paraId="105DE43B" w14:textId="77777777" w:rsidR="00E22566" w:rsidRDefault="00E22566">
      <w:pPr>
        <w:spacing w:after="0"/>
      </w:pPr>
    </w:p>
    <w:p w14:paraId="7D095517" w14:textId="77777777" w:rsidR="00E22566" w:rsidRDefault="00000000">
      <w:r>
        <w:t>Na kontu 166 potraživanja za prihode od prodaje proizvoda i robe te pruženih usluga i za povrat po protestiranim jamstvima knjiženo je 212,91 EUR, a što se odnosi na potraživanja za  iznajmljivanje prostora tj. na potraživanja za režije.</w:t>
      </w:r>
    </w:p>
    <w:p w14:paraId="6A125341" w14:textId="77777777" w:rsidR="00E22566" w:rsidRDefault="00E22566"/>
    <w:p w14:paraId="5C10E736" w14:textId="77777777" w:rsidR="00E22566"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61650F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82F376"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C2BE79"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12022C"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EA2023"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DFA380"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903599" w14:textId="77777777" w:rsidR="00E22566" w:rsidRDefault="00000000">
            <w:pPr>
              <w:keepNext/>
              <w:keepLines/>
              <w:spacing w:after="0" w:line="240" w:lineRule="auto"/>
              <w:jc w:val="center"/>
            </w:pPr>
            <w:r>
              <w:rPr>
                <w:b/>
                <w:sz w:val="18"/>
              </w:rPr>
              <w:t>Indeks (%)</w:t>
            </w:r>
          </w:p>
        </w:tc>
      </w:tr>
      <w:tr w:rsidR="00E22566" w14:paraId="2C8ADF08" w14:textId="77777777">
        <w:tblPrEx>
          <w:tblCellMar>
            <w:top w:w="0" w:type="dxa"/>
            <w:bottom w:w="0" w:type="dxa"/>
          </w:tblCellMar>
        </w:tblPrEx>
        <w:trPr>
          <w:cantSplit/>
          <w:trHeight w:val="560"/>
        </w:trPr>
        <w:tc>
          <w:tcPr>
            <w:tcW w:w="700" w:type="dxa"/>
            <w:tcMar>
              <w:top w:w="0" w:type="dxa"/>
              <w:bottom w:w="0" w:type="dxa"/>
            </w:tcMar>
            <w:vAlign w:val="center"/>
          </w:tcPr>
          <w:p w14:paraId="7D00BD65" w14:textId="77777777" w:rsidR="00E22566" w:rsidRDefault="00000000">
            <w:pPr>
              <w:keepNext/>
              <w:keepLines/>
              <w:spacing w:after="0" w:line="240" w:lineRule="auto"/>
            </w:pPr>
            <w:r>
              <w:rPr>
                <w:sz w:val="18"/>
              </w:rPr>
              <w:t>169</w:t>
            </w:r>
          </w:p>
        </w:tc>
        <w:tc>
          <w:tcPr>
            <w:tcW w:w="3180" w:type="dxa"/>
            <w:tcMar>
              <w:top w:w="0" w:type="dxa"/>
              <w:bottom w:w="0" w:type="dxa"/>
            </w:tcMar>
            <w:vAlign w:val="center"/>
          </w:tcPr>
          <w:p w14:paraId="206EB5F1" w14:textId="77777777" w:rsidR="00E22566"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5246A7E8" w14:textId="77777777" w:rsidR="00E22566" w:rsidRDefault="00000000">
            <w:pPr>
              <w:keepNext/>
              <w:keepLines/>
              <w:spacing w:after="0" w:line="240" w:lineRule="auto"/>
            </w:pPr>
            <w:r>
              <w:rPr>
                <w:sz w:val="18"/>
              </w:rPr>
              <w:t>169</w:t>
            </w:r>
          </w:p>
        </w:tc>
        <w:tc>
          <w:tcPr>
            <w:tcW w:w="1860" w:type="dxa"/>
            <w:tcMar>
              <w:top w:w="0" w:type="dxa"/>
              <w:bottom w:w="0" w:type="dxa"/>
            </w:tcMar>
            <w:vAlign w:val="center"/>
          </w:tcPr>
          <w:p w14:paraId="7BA44273" w14:textId="77777777" w:rsidR="00E22566" w:rsidRDefault="00000000">
            <w:pPr>
              <w:keepNext/>
              <w:keepLines/>
              <w:spacing w:after="0" w:line="240" w:lineRule="auto"/>
              <w:jc w:val="right"/>
            </w:pPr>
            <w:r>
              <w:rPr>
                <w:sz w:val="18"/>
              </w:rPr>
              <w:t>28.589,14</w:t>
            </w:r>
          </w:p>
        </w:tc>
        <w:tc>
          <w:tcPr>
            <w:tcW w:w="1860" w:type="dxa"/>
            <w:tcMar>
              <w:top w:w="0" w:type="dxa"/>
              <w:bottom w:w="0" w:type="dxa"/>
            </w:tcMar>
            <w:vAlign w:val="center"/>
          </w:tcPr>
          <w:p w14:paraId="67962771" w14:textId="77777777" w:rsidR="00E22566" w:rsidRDefault="00000000">
            <w:pPr>
              <w:keepNext/>
              <w:keepLines/>
              <w:spacing w:after="0" w:line="240" w:lineRule="auto"/>
              <w:jc w:val="right"/>
            </w:pPr>
            <w:r>
              <w:rPr>
                <w:sz w:val="18"/>
              </w:rPr>
              <w:t>23.825,54</w:t>
            </w:r>
          </w:p>
        </w:tc>
        <w:tc>
          <w:tcPr>
            <w:tcW w:w="700" w:type="dxa"/>
            <w:tcMar>
              <w:top w:w="0" w:type="dxa"/>
              <w:bottom w:w="0" w:type="dxa"/>
            </w:tcMar>
            <w:vAlign w:val="center"/>
          </w:tcPr>
          <w:p w14:paraId="06740906" w14:textId="77777777" w:rsidR="00E22566" w:rsidRDefault="00000000">
            <w:pPr>
              <w:keepNext/>
              <w:keepLines/>
              <w:spacing w:after="0" w:line="240" w:lineRule="auto"/>
              <w:jc w:val="right"/>
            </w:pPr>
            <w:r>
              <w:rPr>
                <w:sz w:val="18"/>
              </w:rPr>
              <w:t>83,3</w:t>
            </w:r>
          </w:p>
        </w:tc>
      </w:tr>
    </w:tbl>
    <w:p w14:paraId="669B040E" w14:textId="77777777" w:rsidR="00E22566" w:rsidRDefault="00E22566">
      <w:pPr>
        <w:spacing w:after="0"/>
      </w:pPr>
    </w:p>
    <w:p w14:paraId="63F7783B" w14:textId="77777777" w:rsidR="00E22566" w:rsidRDefault="00000000">
      <w:pPr>
        <w:jc w:val="both"/>
      </w:pPr>
      <w:r>
        <w:t>Na računu 169 je evidentiran ispravak vrijednosti potraživanja u iznosu od 23.825,54 EUR, a odnosi se na zastarijela potraživanja od korisnika kojima su pružene usluge smještaja i pomoći u kući. Navedeni konto bilježi smanjenje u odnosu na početak godine iz razloga što su naplaćena dva zastarijela potraživanja u 2025. godini.</w:t>
      </w:r>
    </w:p>
    <w:p w14:paraId="27CC65E6" w14:textId="77777777" w:rsidR="00E22566" w:rsidRDefault="00000000">
      <w:r>
        <w:t>Popis sudskih sporova u tijeku - proračunski korisnik tužitelj:</w:t>
      </w:r>
    </w:p>
    <w:tbl>
      <w:tblPr>
        <w:tblStyle w:val="TableGrid"/>
        <w:tblW w:w="5000" w:type="pct"/>
        <w:tblLook w:val="04A0" w:firstRow="1" w:lastRow="0" w:firstColumn="1" w:lastColumn="0" w:noHBand="0" w:noVBand="1"/>
      </w:tblPr>
      <w:tblGrid>
        <w:gridCol w:w="790"/>
        <w:gridCol w:w="1323"/>
        <w:gridCol w:w="2611"/>
        <w:gridCol w:w="1890"/>
        <w:gridCol w:w="2448"/>
      </w:tblGrid>
      <w:tr w:rsidR="00E22566" w14:paraId="2E8E7EF5" w14:textId="77777777">
        <w:trPr>
          <w:trHeight w:val="1598"/>
        </w:trPr>
        <w:tc>
          <w:tcPr>
            <w:tcW w:w="266" w:type="pct"/>
            <w:vAlign w:val="center"/>
          </w:tcPr>
          <w:p w14:paraId="676DE2B2" w14:textId="77777777" w:rsidR="00E22566" w:rsidRDefault="00000000">
            <w:pPr>
              <w:jc w:val="center"/>
            </w:pPr>
            <w:r>
              <w:t>Redni</w:t>
            </w:r>
          </w:p>
          <w:p w14:paraId="7D9EC511" w14:textId="77777777" w:rsidR="00E22566" w:rsidRDefault="00000000">
            <w:pPr>
              <w:jc w:val="center"/>
            </w:pPr>
            <w:r>
              <w:t>broj</w:t>
            </w:r>
          </w:p>
        </w:tc>
        <w:tc>
          <w:tcPr>
            <w:tcW w:w="608" w:type="pct"/>
            <w:vAlign w:val="center"/>
          </w:tcPr>
          <w:p w14:paraId="4EFB076C" w14:textId="77777777" w:rsidR="00E22566" w:rsidRDefault="00000000">
            <w:pPr>
              <w:jc w:val="center"/>
            </w:pPr>
            <w:r>
              <w:t>Tuženik, </w:t>
            </w:r>
          </w:p>
          <w:p w14:paraId="0F58A9F5" w14:textId="77777777" w:rsidR="00E22566" w:rsidRDefault="00000000">
            <w:pPr>
              <w:jc w:val="center"/>
            </w:pPr>
            <w:r>
              <w:t>korisnik</w:t>
            </w:r>
          </w:p>
        </w:tc>
        <w:tc>
          <w:tcPr>
            <w:tcW w:w="1537" w:type="pct"/>
            <w:vAlign w:val="center"/>
          </w:tcPr>
          <w:p w14:paraId="577CC8CF" w14:textId="77777777" w:rsidR="00E22566" w:rsidRDefault="00000000">
            <w:pPr>
              <w:keepNext/>
              <w:jc w:val="center"/>
            </w:pPr>
            <w:r>
              <w:t>Sažeti opis prirode spora</w:t>
            </w:r>
          </w:p>
        </w:tc>
        <w:tc>
          <w:tcPr>
            <w:tcW w:w="1139" w:type="pct"/>
            <w:vAlign w:val="center"/>
          </w:tcPr>
          <w:p w14:paraId="69309EDD" w14:textId="77777777" w:rsidR="00E22566" w:rsidRDefault="00000000">
            <w:pPr>
              <w:keepNext/>
              <w:jc w:val="center"/>
            </w:pPr>
            <w:r>
              <w:t>Iznos duga</w:t>
            </w:r>
            <w:r>
              <w:br/>
              <w:t>(EUR)</w:t>
            </w:r>
          </w:p>
        </w:tc>
        <w:tc>
          <w:tcPr>
            <w:tcW w:w="1447" w:type="pct"/>
            <w:vAlign w:val="center"/>
          </w:tcPr>
          <w:p w14:paraId="094B732F" w14:textId="77777777" w:rsidR="00E22566" w:rsidRDefault="00000000">
            <w:pPr>
              <w:keepNext/>
              <w:jc w:val="center"/>
            </w:pPr>
            <w:r>
              <w:t>Napomena</w:t>
            </w:r>
          </w:p>
        </w:tc>
      </w:tr>
      <w:tr w:rsidR="00E22566" w14:paraId="735F956C" w14:textId="77777777">
        <w:trPr>
          <w:trHeight w:val="878"/>
        </w:trPr>
        <w:tc>
          <w:tcPr>
            <w:tcW w:w="266" w:type="pct"/>
            <w:vAlign w:val="center"/>
          </w:tcPr>
          <w:p w14:paraId="2BA94F47" w14:textId="77777777" w:rsidR="00E22566" w:rsidRDefault="00000000">
            <w:r>
              <w:t>1.</w:t>
            </w:r>
          </w:p>
        </w:tc>
        <w:tc>
          <w:tcPr>
            <w:tcW w:w="608" w:type="pct"/>
            <w:vAlign w:val="center"/>
          </w:tcPr>
          <w:p w14:paraId="19531B35" w14:textId="77777777" w:rsidR="00E22566" w:rsidRDefault="00000000">
            <w:r>
              <w:t>Frančišek Balant</w:t>
            </w:r>
          </w:p>
        </w:tc>
        <w:tc>
          <w:tcPr>
            <w:tcW w:w="1537" w:type="pct"/>
            <w:vAlign w:val="center"/>
          </w:tcPr>
          <w:p w14:paraId="24476D83" w14:textId="77777777" w:rsidR="00E22566" w:rsidRDefault="00000000">
            <w:pPr>
              <w:keepNext/>
              <w:jc w:val="both"/>
            </w:pPr>
            <w:r>
              <w:t xml:space="preserve">Radi nenaplaćenog potraživanja izvršen je upis hipoteke u korist Doma na nektretninama koje su sada vlasništvo Grubišić Zlatice. Istoj je poslana opomena radi podrimenja duga, u slučaju ogluhe bit će </w:t>
            </w:r>
            <w:r>
              <w:lastRenderedPageBreak/>
              <w:t>pokrenuta prisilna naplata duga.</w:t>
            </w:r>
          </w:p>
        </w:tc>
        <w:tc>
          <w:tcPr>
            <w:tcW w:w="1139" w:type="pct"/>
            <w:vAlign w:val="center"/>
          </w:tcPr>
          <w:p w14:paraId="63410956" w14:textId="77777777" w:rsidR="00E22566" w:rsidRDefault="00000000">
            <w:pPr>
              <w:keepNext/>
              <w:jc w:val="right"/>
            </w:pPr>
            <w:r>
              <w:lastRenderedPageBreak/>
              <w:t>5.455,01</w:t>
            </w:r>
          </w:p>
        </w:tc>
        <w:tc>
          <w:tcPr>
            <w:tcW w:w="1447" w:type="pct"/>
            <w:vAlign w:val="center"/>
          </w:tcPr>
          <w:p w14:paraId="511024C6" w14:textId="77777777" w:rsidR="00E22566" w:rsidRDefault="00000000">
            <w:pPr>
              <w:keepNext/>
              <w:jc w:val="both"/>
            </w:pPr>
            <w:r>
              <w:t>Hipoteke nisu upisane kao prve u prvenstvu naplate.</w:t>
            </w:r>
          </w:p>
        </w:tc>
      </w:tr>
      <w:tr w:rsidR="00E22566" w14:paraId="19BE9EFE" w14:textId="77777777">
        <w:tc>
          <w:tcPr>
            <w:tcW w:w="266" w:type="pct"/>
            <w:vAlign w:val="center"/>
          </w:tcPr>
          <w:p w14:paraId="34F433BD" w14:textId="77777777" w:rsidR="00E22566" w:rsidRDefault="00000000">
            <w:r>
              <w:t>2.</w:t>
            </w:r>
          </w:p>
        </w:tc>
        <w:tc>
          <w:tcPr>
            <w:tcW w:w="608" w:type="pct"/>
            <w:vAlign w:val="center"/>
          </w:tcPr>
          <w:p w14:paraId="1771BBE5" w14:textId="77777777" w:rsidR="00E22566" w:rsidRDefault="00000000">
            <w:r>
              <w:t>Bara Piha</w:t>
            </w:r>
          </w:p>
        </w:tc>
        <w:tc>
          <w:tcPr>
            <w:tcW w:w="1537" w:type="pct"/>
            <w:vAlign w:val="center"/>
          </w:tcPr>
          <w:p w14:paraId="0141F8B1" w14:textId="77777777" w:rsidR="00E22566" w:rsidRDefault="00000000">
            <w:pPr>
              <w:jc w:val="both"/>
            </w:pPr>
            <w:r>
              <w:t xml:space="preserve">Radi nenaplaćenog potraživanja je u 2008. godini tadašnja odvjetnica Doma pokrenula ovrhu na pokretninama i osiguranja hipotekom. U 2009. godini pljenidba pokretnina je bila neuspješna te nije u roku 3 mjeseca predložena promjena predmeta ovrhe i sud nije obustavio ovrhu na pokretninama i brisao založno pravo. Rok zastare za tražbine utvrđene pravomoćnom odlukom je 10 godina, u ovom slučaju do 12.05.20214. godine. Zastara se prekida svakom radnjom protiv ovršenika radi naplate potraživanja i od prekida teče ponovno, osim u slučaju da mjera osiguranja bude stavljena izvan snage te se smatra da prekida nije ni bilo (čl.242.st.2. Zakon o obveznim odnosima) što se u ovom slučaju i dogodilo. Slijedom navedenog rok zastare potraživanja prema Bari Piha nastupio je 12.05.2014. godine te je od tada potraživanje Doma prema Bari Piha u zastari. Na temelju analize nenaplaćenog potraživanja za Baru Piha sadašnjeg odvjetnika Doma i Odlukom Upravnog vijeća Doma otpisano je </w:t>
            </w:r>
            <w:r>
              <w:lastRenderedPageBreak/>
              <w:t>navedeno zastarijelo potraživanje.</w:t>
            </w:r>
          </w:p>
        </w:tc>
        <w:tc>
          <w:tcPr>
            <w:tcW w:w="1139" w:type="pct"/>
            <w:vAlign w:val="center"/>
          </w:tcPr>
          <w:p w14:paraId="5AEE5020" w14:textId="77777777" w:rsidR="00E22566" w:rsidRDefault="00000000">
            <w:pPr>
              <w:keepNext/>
              <w:jc w:val="right"/>
            </w:pPr>
            <w:r>
              <w:lastRenderedPageBreak/>
              <w:t>1.371,89</w:t>
            </w:r>
          </w:p>
        </w:tc>
        <w:tc>
          <w:tcPr>
            <w:tcW w:w="1447" w:type="pct"/>
            <w:vAlign w:val="center"/>
          </w:tcPr>
          <w:p w14:paraId="0384D3D1" w14:textId="77777777" w:rsidR="00E22566" w:rsidRDefault="00000000">
            <w:pPr>
              <w:keepNext/>
              <w:jc w:val="both"/>
            </w:pPr>
            <w:r>
              <w:t>Otpisano u 2025. godini.</w:t>
            </w:r>
          </w:p>
        </w:tc>
      </w:tr>
      <w:tr w:rsidR="00E22566" w14:paraId="318632A8" w14:textId="77777777">
        <w:tc>
          <w:tcPr>
            <w:tcW w:w="266" w:type="pct"/>
            <w:vAlign w:val="center"/>
          </w:tcPr>
          <w:p w14:paraId="40E6343D" w14:textId="77777777" w:rsidR="00E22566" w:rsidRDefault="00000000">
            <w:r>
              <w:t>3.</w:t>
            </w:r>
          </w:p>
        </w:tc>
        <w:tc>
          <w:tcPr>
            <w:tcW w:w="608" w:type="pct"/>
            <w:vAlign w:val="center"/>
          </w:tcPr>
          <w:p w14:paraId="5A6EEA51" w14:textId="77777777" w:rsidR="00E22566" w:rsidRDefault="00000000">
            <w:r>
              <w:t>Kata Šimić</w:t>
            </w:r>
          </w:p>
        </w:tc>
        <w:tc>
          <w:tcPr>
            <w:tcW w:w="1537" w:type="pct"/>
            <w:vAlign w:val="center"/>
          </w:tcPr>
          <w:p w14:paraId="6C1FFD50" w14:textId="77777777" w:rsidR="00E22566" w:rsidRDefault="00000000">
            <w:pPr>
              <w:jc w:val="both"/>
            </w:pPr>
            <w:r>
              <w:t>Radi nenepalaćenog potraživanja utužen obveznik plaćanja Josip Šimić, donesena je presuda po kojoj je dužan Domu uplatiti cjelokupni iznos s pripadajućim kamatama i troškovima. Dana 27.11.2023. godine sklopljen je Sporazum sa Majdom Šimić koja je suglasna da će u 12 jednakih mjesečnih rata podmiriti dug svog supruga Josipa Šimića. Majda Šimić je u 12. mjesecu 2023. godine uplatila prvu mjesečnu ratu u iznosu od 185,00 EUR. Do 31.12.2024. godine preostalo je još duga za platitit u iznosu od 791,91 EUR. U 2025. godini je preostali dug naplaćen te je navedeno potraživanje zatvoreno.</w:t>
            </w:r>
          </w:p>
        </w:tc>
        <w:tc>
          <w:tcPr>
            <w:tcW w:w="1139" w:type="pct"/>
            <w:vAlign w:val="center"/>
          </w:tcPr>
          <w:p w14:paraId="2245E8BD" w14:textId="77777777" w:rsidR="00E22566" w:rsidRDefault="00000000">
            <w:pPr>
              <w:keepNext/>
              <w:jc w:val="right"/>
            </w:pPr>
            <w:r>
              <w:t>1.934,41</w:t>
            </w:r>
          </w:p>
        </w:tc>
        <w:tc>
          <w:tcPr>
            <w:tcW w:w="1447" w:type="pct"/>
            <w:vAlign w:val="center"/>
          </w:tcPr>
          <w:p w14:paraId="6EFE6C1B" w14:textId="77777777" w:rsidR="00E22566" w:rsidRDefault="00000000">
            <w:r>
              <w:t>Zastarijelo potraživanje naplaćeno u cijelosti u 2025. godini.</w:t>
            </w:r>
          </w:p>
        </w:tc>
      </w:tr>
      <w:tr w:rsidR="00E22566" w14:paraId="74B41A54" w14:textId="77777777">
        <w:tc>
          <w:tcPr>
            <w:tcW w:w="266" w:type="pct"/>
            <w:vAlign w:val="center"/>
          </w:tcPr>
          <w:p w14:paraId="045231C6" w14:textId="77777777" w:rsidR="00E22566" w:rsidRDefault="00000000">
            <w:r>
              <w:t>4.</w:t>
            </w:r>
          </w:p>
        </w:tc>
        <w:tc>
          <w:tcPr>
            <w:tcW w:w="608" w:type="pct"/>
            <w:vAlign w:val="center"/>
          </w:tcPr>
          <w:p w14:paraId="604C2B21" w14:textId="77777777" w:rsidR="00E22566" w:rsidRDefault="00000000">
            <w:r>
              <w:t>Manda Dukić</w:t>
            </w:r>
          </w:p>
        </w:tc>
        <w:tc>
          <w:tcPr>
            <w:tcW w:w="1537" w:type="pct"/>
            <w:vAlign w:val="center"/>
          </w:tcPr>
          <w:p w14:paraId="651F85A6" w14:textId="77777777" w:rsidR="00E22566" w:rsidRDefault="00000000">
            <w:pPr>
              <w:jc w:val="both"/>
            </w:pPr>
            <w:r>
              <w:t>Radi nenaplaćenog potraživanja sklopljEna sudska nagodba.</w:t>
            </w:r>
          </w:p>
        </w:tc>
        <w:tc>
          <w:tcPr>
            <w:tcW w:w="1139" w:type="pct"/>
            <w:vAlign w:val="center"/>
          </w:tcPr>
          <w:p w14:paraId="05572A65" w14:textId="77777777" w:rsidR="00E22566" w:rsidRDefault="00000000">
            <w:pPr>
              <w:keepNext/>
              <w:jc w:val="right"/>
            </w:pPr>
            <w:r>
              <w:t>1.333,54</w:t>
            </w:r>
          </w:p>
        </w:tc>
        <w:tc>
          <w:tcPr>
            <w:tcW w:w="1447" w:type="pct"/>
            <w:vAlign w:val="center"/>
          </w:tcPr>
          <w:p w14:paraId="7C02062E" w14:textId="77777777" w:rsidR="00E22566" w:rsidRDefault="00000000">
            <w:r>
              <w:t> </w:t>
            </w:r>
          </w:p>
        </w:tc>
      </w:tr>
      <w:tr w:rsidR="00E22566" w14:paraId="5CCF8D71" w14:textId="77777777">
        <w:tc>
          <w:tcPr>
            <w:tcW w:w="266" w:type="pct"/>
            <w:vAlign w:val="center"/>
          </w:tcPr>
          <w:p w14:paraId="3C630007" w14:textId="77777777" w:rsidR="00E22566" w:rsidRDefault="00000000">
            <w:r>
              <w:t>5.</w:t>
            </w:r>
          </w:p>
        </w:tc>
        <w:tc>
          <w:tcPr>
            <w:tcW w:w="608" w:type="pct"/>
            <w:vAlign w:val="center"/>
          </w:tcPr>
          <w:p w14:paraId="3D04DB98" w14:textId="77777777" w:rsidR="00E22566" w:rsidRDefault="00000000">
            <w:r>
              <w:t>Ivka Milanković</w:t>
            </w:r>
          </w:p>
        </w:tc>
        <w:tc>
          <w:tcPr>
            <w:tcW w:w="1537" w:type="pct"/>
            <w:vAlign w:val="center"/>
          </w:tcPr>
          <w:p w14:paraId="7E6921E5" w14:textId="77777777" w:rsidR="00E22566" w:rsidRDefault="00000000">
            <w:pPr>
              <w:jc w:val="both"/>
            </w:pPr>
            <w:r>
              <w:t>Radi dijela nenaplaćenog potraživanja vodio se ovršni postupak. Ishođeno je rješenje o osiguranju prisilnim zasnivanjem založnog prava na nekretninama korisnice. Navedena je preminula u 2023. godini, u tijeku je ostavinski postupak. Po dovršetku ostavinskog postupka bit će pokrenuta prisilna naplata od nasljednika.</w:t>
            </w:r>
          </w:p>
        </w:tc>
        <w:tc>
          <w:tcPr>
            <w:tcW w:w="1139" w:type="pct"/>
            <w:vAlign w:val="center"/>
          </w:tcPr>
          <w:p w14:paraId="22463991" w14:textId="77777777" w:rsidR="00E22566" w:rsidRDefault="00000000">
            <w:pPr>
              <w:keepNext/>
              <w:jc w:val="right"/>
            </w:pPr>
            <w:r>
              <w:t>6.267,73</w:t>
            </w:r>
          </w:p>
        </w:tc>
        <w:tc>
          <w:tcPr>
            <w:tcW w:w="1447" w:type="pct"/>
            <w:vAlign w:val="center"/>
          </w:tcPr>
          <w:p w14:paraId="7B1B2E63" w14:textId="77777777" w:rsidR="00E22566" w:rsidRDefault="00000000">
            <w:r>
              <w:t> </w:t>
            </w:r>
          </w:p>
        </w:tc>
      </w:tr>
      <w:tr w:rsidR="00E22566" w14:paraId="20B26B26" w14:textId="77777777">
        <w:tc>
          <w:tcPr>
            <w:tcW w:w="266" w:type="pct"/>
            <w:vAlign w:val="center"/>
          </w:tcPr>
          <w:p w14:paraId="2171FD19" w14:textId="77777777" w:rsidR="00E22566" w:rsidRDefault="00000000">
            <w:r>
              <w:t>6.</w:t>
            </w:r>
          </w:p>
        </w:tc>
        <w:tc>
          <w:tcPr>
            <w:tcW w:w="608" w:type="pct"/>
            <w:vAlign w:val="center"/>
          </w:tcPr>
          <w:p w14:paraId="2D0761C7" w14:textId="77777777" w:rsidR="00E22566" w:rsidRDefault="00000000">
            <w:r>
              <w:t>Ruža Galić</w:t>
            </w:r>
          </w:p>
        </w:tc>
        <w:tc>
          <w:tcPr>
            <w:tcW w:w="1537" w:type="pct"/>
            <w:vAlign w:val="center"/>
          </w:tcPr>
          <w:p w14:paraId="0F3EE3E4" w14:textId="77777777" w:rsidR="00E22566" w:rsidRDefault="00000000">
            <w:pPr>
              <w:jc w:val="both"/>
            </w:pPr>
            <w:r>
              <w:t xml:space="preserve">Radi nenaplaćenog potraživanja izvršen je </w:t>
            </w:r>
            <w:r>
              <w:lastRenderedPageBreak/>
              <w:t>upis hipoteke u korist Doma na nekretninama Miroslava Dumančića. S obzirom da je navedeni preminuo, opomenuti su njegovi nasljednici te je u 2025. godini sa suprugom Miroslava Dumančića potpisan Sporazum o podmirenju tražbine na iznos od 15.200,00 EUR uključujući pripadajuće kamate i troškove. Dana 25.05.2025. godine podmiren je dug u cijelosti nakon čega je punomoćnik Doma povukao prijedlog za osiguranje založnim pravima te je predmet okončan i potraživanje zatvoreno.</w:t>
            </w:r>
          </w:p>
        </w:tc>
        <w:tc>
          <w:tcPr>
            <w:tcW w:w="1139" w:type="pct"/>
            <w:vAlign w:val="center"/>
          </w:tcPr>
          <w:p w14:paraId="7AB95813" w14:textId="77777777" w:rsidR="00E22566" w:rsidRDefault="00000000">
            <w:pPr>
              <w:keepNext/>
              <w:jc w:val="right"/>
            </w:pPr>
            <w:r>
              <w:lastRenderedPageBreak/>
              <w:t>5.768,46</w:t>
            </w:r>
          </w:p>
        </w:tc>
        <w:tc>
          <w:tcPr>
            <w:tcW w:w="1447" w:type="pct"/>
            <w:vAlign w:val="center"/>
          </w:tcPr>
          <w:p w14:paraId="3374BE39" w14:textId="77777777" w:rsidR="00E22566" w:rsidRDefault="00000000">
            <w:pPr>
              <w:keepNext/>
              <w:jc w:val="both"/>
            </w:pPr>
            <w:r>
              <w:t xml:space="preserve">Zastarijelo potraživanje naplaćeno </w:t>
            </w:r>
            <w:r>
              <w:lastRenderedPageBreak/>
              <w:t>u cijelosti u 2025. godini.</w:t>
            </w:r>
          </w:p>
        </w:tc>
      </w:tr>
      <w:tr w:rsidR="00E22566" w14:paraId="1A7F815C" w14:textId="77777777">
        <w:tc>
          <w:tcPr>
            <w:tcW w:w="266" w:type="pct"/>
            <w:vAlign w:val="center"/>
          </w:tcPr>
          <w:p w14:paraId="77C54D7E" w14:textId="77777777" w:rsidR="00E22566" w:rsidRDefault="00000000">
            <w:r>
              <w:lastRenderedPageBreak/>
              <w:t>7.</w:t>
            </w:r>
          </w:p>
        </w:tc>
        <w:tc>
          <w:tcPr>
            <w:tcW w:w="608" w:type="pct"/>
            <w:vAlign w:val="center"/>
          </w:tcPr>
          <w:p w14:paraId="673ADFEB" w14:textId="77777777" w:rsidR="00E22566" w:rsidRDefault="00000000">
            <w:r>
              <w:t> </w:t>
            </w:r>
          </w:p>
        </w:tc>
        <w:tc>
          <w:tcPr>
            <w:tcW w:w="1537" w:type="pct"/>
            <w:vAlign w:val="center"/>
          </w:tcPr>
          <w:p w14:paraId="58AD3208" w14:textId="77777777" w:rsidR="00E22566" w:rsidRDefault="00000000">
            <w:pPr>
              <w:jc w:val="both"/>
            </w:pPr>
            <w:r>
              <w:t>Sudski spor s odvjetnikom Ivanom Boškovićem iz 2022. godine. Predmet spora je smetanje posjeda. Ivan Bošković je tražio izdavanje privremene mjere, no sud ga je odbio. Otada nije bilo aktivnosti u predmetu.</w:t>
            </w:r>
          </w:p>
        </w:tc>
        <w:tc>
          <w:tcPr>
            <w:tcW w:w="1139" w:type="pct"/>
            <w:vAlign w:val="center"/>
          </w:tcPr>
          <w:p w14:paraId="076539D2" w14:textId="77777777" w:rsidR="00E22566" w:rsidRDefault="00000000">
            <w:pPr>
              <w:keepNext/>
              <w:jc w:val="right"/>
            </w:pPr>
            <w:r>
              <w:t> </w:t>
            </w:r>
          </w:p>
        </w:tc>
        <w:tc>
          <w:tcPr>
            <w:tcW w:w="1447" w:type="pct"/>
            <w:vAlign w:val="center"/>
          </w:tcPr>
          <w:p w14:paraId="5167E9C1" w14:textId="77777777" w:rsidR="00E22566" w:rsidRDefault="00000000">
            <w:r>
              <w:t> </w:t>
            </w:r>
          </w:p>
        </w:tc>
      </w:tr>
    </w:tbl>
    <w:p w14:paraId="28925DA5" w14:textId="77777777" w:rsidR="00E22566" w:rsidRDefault="00000000">
      <w:r>
        <w:t> </w:t>
      </w:r>
    </w:p>
    <w:p w14:paraId="121F57C3" w14:textId="77777777" w:rsidR="00E22566" w:rsidRDefault="00E22566"/>
    <w:p w14:paraId="57769EFE" w14:textId="77777777" w:rsidR="00E22566"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69E591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BE573A"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254DEC"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2B2856"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B7174E"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05B752"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56902B" w14:textId="77777777" w:rsidR="00E22566" w:rsidRDefault="00000000">
            <w:pPr>
              <w:keepNext/>
              <w:keepLines/>
              <w:spacing w:after="0" w:line="240" w:lineRule="auto"/>
              <w:jc w:val="center"/>
            </w:pPr>
            <w:r>
              <w:rPr>
                <w:b/>
                <w:sz w:val="18"/>
              </w:rPr>
              <w:t>Indeks (%)</w:t>
            </w:r>
          </w:p>
        </w:tc>
      </w:tr>
      <w:tr w:rsidR="00E22566" w14:paraId="0F4C20B3" w14:textId="77777777">
        <w:tblPrEx>
          <w:tblCellMar>
            <w:top w:w="0" w:type="dxa"/>
            <w:bottom w:w="0" w:type="dxa"/>
          </w:tblCellMar>
        </w:tblPrEx>
        <w:trPr>
          <w:cantSplit/>
          <w:trHeight w:val="560"/>
        </w:trPr>
        <w:tc>
          <w:tcPr>
            <w:tcW w:w="700" w:type="dxa"/>
            <w:tcMar>
              <w:top w:w="0" w:type="dxa"/>
              <w:bottom w:w="0" w:type="dxa"/>
            </w:tcMar>
            <w:vAlign w:val="center"/>
          </w:tcPr>
          <w:p w14:paraId="26FD2163" w14:textId="77777777" w:rsidR="00E22566" w:rsidRDefault="00000000">
            <w:pPr>
              <w:keepNext/>
              <w:keepLines/>
              <w:spacing w:after="0" w:line="240" w:lineRule="auto"/>
            </w:pPr>
            <w:r>
              <w:rPr>
                <w:sz w:val="18"/>
              </w:rPr>
              <w:t>231</w:t>
            </w:r>
          </w:p>
        </w:tc>
        <w:tc>
          <w:tcPr>
            <w:tcW w:w="3180" w:type="dxa"/>
            <w:tcMar>
              <w:top w:w="0" w:type="dxa"/>
              <w:bottom w:w="0" w:type="dxa"/>
            </w:tcMar>
            <w:vAlign w:val="center"/>
          </w:tcPr>
          <w:p w14:paraId="57F6A59C" w14:textId="77777777" w:rsidR="00E22566" w:rsidRDefault="00000000">
            <w:pPr>
              <w:keepNext/>
              <w:keepLines/>
              <w:spacing w:after="0" w:line="240" w:lineRule="auto"/>
            </w:pPr>
            <w:r>
              <w:rPr>
                <w:sz w:val="18"/>
              </w:rPr>
              <w:t>Obveze za zaposlene</w:t>
            </w:r>
          </w:p>
        </w:tc>
        <w:tc>
          <w:tcPr>
            <w:tcW w:w="700" w:type="dxa"/>
            <w:tcMar>
              <w:top w:w="0" w:type="dxa"/>
              <w:bottom w:w="0" w:type="dxa"/>
            </w:tcMar>
            <w:vAlign w:val="center"/>
          </w:tcPr>
          <w:p w14:paraId="2C3C38ED" w14:textId="77777777" w:rsidR="00E22566" w:rsidRDefault="00000000">
            <w:pPr>
              <w:keepNext/>
              <w:keepLines/>
              <w:spacing w:after="0" w:line="240" w:lineRule="auto"/>
            </w:pPr>
            <w:r>
              <w:rPr>
                <w:sz w:val="18"/>
              </w:rPr>
              <w:t>231</w:t>
            </w:r>
          </w:p>
        </w:tc>
        <w:tc>
          <w:tcPr>
            <w:tcW w:w="1860" w:type="dxa"/>
            <w:tcMar>
              <w:top w:w="0" w:type="dxa"/>
              <w:bottom w:w="0" w:type="dxa"/>
            </w:tcMar>
            <w:vAlign w:val="center"/>
          </w:tcPr>
          <w:p w14:paraId="1D609B1D" w14:textId="77777777" w:rsidR="00E22566" w:rsidRDefault="00000000">
            <w:pPr>
              <w:keepNext/>
              <w:keepLines/>
              <w:spacing w:after="0" w:line="240" w:lineRule="auto"/>
              <w:jc w:val="right"/>
            </w:pPr>
            <w:r>
              <w:rPr>
                <w:sz w:val="18"/>
              </w:rPr>
              <w:t>132.844,50</w:t>
            </w:r>
          </w:p>
        </w:tc>
        <w:tc>
          <w:tcPr>
            <w:tcW w:w="1860" w:type="dxa"/>
            <w:tcMar>
              <w:top w:w="0" w:type="dxa"/>
              <w:bottom w:w="0" w:type="dxa"/>
            </w:tcMar>
            <w:vAlign w:val="center"/>
          </w:tcPr>
          <w:p w14:paraId="1E2B7829" w14:textId="77777777" w:rsidR="00E22566" w:rsidRDefault="00000000">
            <w:pPr>
              <w:keepNext/>
              <w:keepLines/>
              <w:spacing w:after="0" w:line="240" w:lineRule="auto"/>
              <w:jc w:val="right"/>
            </w:pPr>
            <w:r>
              <w:rPr>
                <w:sz w:val="18"/>
              </w:rPr>
              <w:t>150.648,92</w:t>
            </w:r>
          </w:p>
        </w:tc>
        <w:tc>
          <w:tcPr>
            <w:tcW w:w="700" w:type="dxa"/>
            <w:tcMar>
              <w:top w:w="0" w:type="dxa"/>
              <w:bottom w:w="0" w:type="dxa"/>
            </w:tcMar>
            <w:vAlign w:val="center"/>
          </w:tcPr>
          <w:p w14:paraId="04AD8175" w14:textId="77777777" w:rsidR="00E22566" w:rsidRDefault="00000000">
            <w:pPr>
              <w:keepNext/>
              <w:keepLines/>
              <w:spacing w:after="0" w:line="240" w:lineRule="auto"/>
              <w:jc w:val="right"/>
            </w:pPr>
            <w:r>
              <w:rPr>
                <w:sz w:val="18"/>
              </w:rPr>
              <w:t>113,4</w:t>
            </w:r>
          </w:p>
        </w:tc>
      </w:tr>
    </w:tbl>
    <w:p w14:paraId="768F3988" w14:textId="77777777" w:rsidR="00E22566" w:rsidRDefault="00E22566">
      <w:pPr>
        <w:spacing w:after="0"/>
      </w:pPr>
    </w:p>
    <w:p w14:paraId="6F9F13AF" w14:textId="77777777" w:rsidR="00E22566" w:rsidRDefault="00000000">
      <w:r>
        <w:t>Na kontu 231 Obveze za zaposlene evidentiran je iznos od 150.648,92 EUR, a odnosi se na obveze za zaposlene iz 12. mjeseca 2025. godine, a koje dospjevaju u siječnju 2026. godine.</w:t>
      </w:r>
    </w:p>
    <w:p w14:paraId="44C31563" w14:textId="77777777" w:rsidR="00E22566" w:rsidRDefault="00E22566"/>
    <w:p w14:paraId="0B1857B3" w14:textId="77777777" w:rsidR="00E22566" w:rsidRDefault="00000000">
      <w:pPr>
        <w:keepNext/>
        <w:spacing w:line="240" w:lineRule="auto"/>
        <w:jc w:val="center"/>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10C6EF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E9349C"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94228E"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FE9246"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3E8ED4"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FA172F"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583A71" w14:textId="77777777" w:rsidR="00E22566" w:rsidRDefault="00000000">
            <w:pPr>
              <w:keepNext/>
              <w:keepLines/>
              <w:spacing w:after="0" w:line="240" w:lineRule="auto"/>
              <w:jc w:val="center"/>
            </w:pPr>
            <w:r>
              <w:rPr>
                <w:b/>
                <w:sz w:val="18"/>
              </w:rPr>
              <w:t>Indeks (%)</w:t>
            </w:r>
          </w:p>
        </w:tc>
      </w:tr>
      <w:tr w:rsidR="00E22566" w14:paraId="3854EAF6" w14:textId="77777777">
        <w:tblPrEx>
          <w:tblCellMar>
            <w:top w:w="0" w:type="dxa"/>
            <w:bottom w:w="0" w:type="dxa"/>
          </w:tblCellMar>
        </w:tblPrEx>
        <w:trPr>
          <w:cantSplit/>
          <w:trHeight w:val="560"/>
        </w:trPr>
        <w:tc>
          <w:tcPr>
            <w:tcW w:w="700" w:type="dxa"/>
            <w:tcMar>
              <w:top w:w="0" w:type="dxa"/>
              <w:bottom w:w="0" w:type="dxa"/>
            </w:tcMar>
            <w:vAlign w:val="center"/>
          </w:tcPr>
          <w:p w14:paraId="3AD04B95" w14:textId="77777777" w:rsidR="00E22566" w:rsidRDefault="00000000">
            <w:pPr>
              <w:keepNext/>
              <w:keepLines/>
              <w:spacing w:after="0" w:line="240" w:lineRule="auto"/>
            </w:pPr>
            <w:r>
              <w:rPr>
                <w:sz w:val="18"/>
              </w:rPr>
              <w:t>232</w:t>
            </w:r>
          </w:p>
        </w:tc>
        <w:tc>
          <w:tcPr>
            <w:tcW w:w="3180" w:type="dxa"/>
            <w:tcMar>
              <w:top w:w="0" w:type="dxa"/>
              <w:bottom w:w="0" w:type="dxa"/>
            </w:tcMar>
            <w:vAlign w:val="center"/>
          </w:tcPr>
          <w:p w14:paraId="63F06C5E" w14:textId="77777777" w:rsidR="00E22566"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197A38CE" w14:textId="77777777" w:rsidR="00E22566" w:rsidRDefault="00000000">
            <w:pPr>
              <w:keepNext/>
              <w:keepLines/>
              <w:spacing w:after="0" w:line="240" w:lineRule="auto"/>
            </w:pPr>
            <w:r>
              <w:rPr>
                <w:sz w:val="18"/>
              </w:rPr>
              <w:t>232</w:t>
            </w:r>
          </w:p>
        </w:tc>
        <w:tc>
          <w:tcPr>
            <w:tcW w:w="1860" w:type="dxa"/>
            <w:tcMar>
              <w:top w:w="0" w:type="dxa"/>
              <w:bottom w:w="0" w:type="dxa"/>
            </w:tcMar>
            <w:vAlign w:val="center"/>
          </w:tcPr>
          <w:p w14:paraId="00E1E479" w14:textId="77777777" w:rsidR="00E22566" w:rsidRDefault="00000000">
            <w:pPr>
              <w:keepNext/>
              <w:keepLines/>
              <w:spacing w:after="0" w:line="240" w:lineRule="auto"/>
              <w:jc w:val="right"/>
            </w:pPr>
            <w:r>
              <w:rPr>
                <w:sz w:val="18"/>
              </w:rPr>
              <w:t>56.038,14</w:t>
            </w:r>
          </w:p>
        </w:tc>
        <w:tc>
          <w:tcPr>
            <w:tcW w:w="1860" w:type="dxa"/>
            <w:tcMar>
              <w:top w:w="0" w:type="dxa"/>
              <w:bottom w:w="0" w:type="dxa"/>
            </w:tcMar>
            <w:vAlign w:val="center"/>
          </w:tcPr>
          <w:p w14:paraId="75069AD2" w14:textId="77777777" w:rsidR="00E22566" w:rsidRDefault="00000000">
            <w:pPr>
              <w:keepNext/>
              <w:keepLines/>
              <w:spacing w:after="0" w:line="240" w:lineRule="auto"/>
              <w:jc w:val="right"/>
            </w:pPr>
            <w:r>
              <w:rPr>
                <w:sz w:val="18"/>
              </w:rPr>
              <w:t>26.749,84</w:t>
            </w:r>
          </w:p>
        </w:tc>
        <w:tc>
          <w:tcPr>
            <w:tcW w:w="700" w:type="dxa"/>
            <w:tcMar>
              <w:top w:w="0" w:type="dxa"/>
              <w:bottom w:w="0" w:type="dxa"/>
            </w:tcMar>
            <w:vAlign w:val="center"/>
          </w:tcPr>
          <w:p w14:paraId="196E5238" w14:textId="77777777" w:rsidR="00E22566" w:rsidRDefault="00000000">
            <w:pPr>
              <w:keepNext/>
              <w:keepLines/>
              <w:spacing w:after="0" w:line="240" w:lineRule="auto"/>
              <w:jc w:val="right"/>
            </w:pPr>
            <w:r>
              <w:rPr>
                <w:sz w:val="18"/>
              </w:rPr>
              <w:t>47,7</w:t>
            </w:r>
          </w:p>
        </w:tc>
      </w:tr>
    </w:tbl>
    <w:p w14:paraId="2CC6B72F" w14:textId="77777777" w:rsidR="00E22566" w:rsidRDefault="00E22566">
      <w:pPr>
        <w:spacing w:after="0"/>
      </w:pPr>
    </w:p>
    <w:p w14:paraId="5E6E5B6A" w14:textId="77777777" w:rsidR="00E22566" w:rsidRDefault="00000000">
      <w:pPr>
        <w:jc w:val="both"/>
      </w:pPr>
      <w:r>
        <w:t>Na kontu 232 Obveze za materijalne rashode evidentiran je iznos od 26.749,84 EUR koji je u odnosu na stanje na početku godine manji za 47,7 % jer su sve dospjele obveze za materijalne rashode plaćene zaključno sa 31.12.2025. godine.</w:t>
      </w:r>
    </w:p>
    <w:p w14:paraId="4AB5ED70" w14:textId="77777777" w:rsidR="00E22566" w:rsidRDefault="00E22566"/>
    <w:p w14:paraId="4062CC29" w14:textId="77777777" w:rsidR="00E22566"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08DF37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3F1F02"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954898"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0EEA3F"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3D7CFC"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F07A07"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865E5F" w14:textId="77777777" w:rsidR="00E22566" w:rsidRDefault="00000000">
            <w:pPr>
              <w:keepNext/>
              <w:keepLines/>
              <w:spacing w:after="0" w:line="240" w:lineRule="auto"/>
              <w:jc w:val="center"/>
            </w:pPr>
            <w:r>
              <w:rPr>
                <w:b/>
                <w:sz w:val="18"/>
              </w:rPr>
              <w:t>Indeks (%)</w:t>
            </w:r>
          </w:p>
        </w:tc>
      </w:tr>
      <w:tr w:rsidR="00E22566" w14:paraId="7DD436C5" w14:textId="77777777">
        <w:tblPrEx>
          <w:tblCellMar>
            <w:top w:w="0" w:type="dxa"/>
            <w:bottom w:w="0" w:type="dxa"/>
          </w:tblCellMar>
        </w:tblPrEx>
        <w:trPr>
          <w:cantSplit/>
          <w:trHeight w:val="560"/>
        </w:trPr>
        <w:tc>
          <w:tcPr>
            <w:tcW w:w="700" w:type="dxa"/>
            <w:tcMar>
              <w:top w:w="0" w:type="dxa"/>
              <w:bottom w:w="0" w:type="dxa"/>
            </w:tcMar>
            <w:vAlign w:val="center"/>
          </w:tcPr>
          <w:p w14:paraId="766EA220" w14:textId="77777777" w:rsidR="00E22566" w:rsidRDefault="00000000">
            <w:pPr>
              <w:keepNext/>
              <w:keepLines/>
              <w:spacing w:after="0" w:line="240" w:lineRule="auto"/>
            </w:pPr>
            <w:r>
              <w:rPr>
                <w:sz w:val="18"/>
              </w:rPr>
              <w:t>27</w:t>
            </w:r>
          </w:p>
        </w:tc>
        <w:tc>
          <w:tcPr>
            <w:tcW w:w="3180" w:type="dxa"/>
            <w:tcMar>
              <w:top w:w="0" w:type="dxa"/>
              <w:bottom w:w="0" w:type="dxa"/>
            </w:tcMar>
            <w:vAlign w:val="center"/>
          </w:tcPr>
          <w:p w14:paraId="0D4E901A" w14:textId="77777777" w:rsidR="00E22566"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19FAED45" w14:textId="77777777" w:rsidR="00E22566" w:rsidRDefault="00000000">
            <w:pPr>
              <w:keepNext/>
              <w:keepLines/>
              <w:spacing w:after="0" w:line="240" w:lineRule="auto"/>
            </w:pPr>
            <w:r>
              <w:rPr>
                <w:sz w:val="18"/>
              </w:rPr>
              <w:t>27</w:t>
            </w:r>
          </w:p>
        </w:tc>
        <w:tc>
          <w:tcPr>
            <w:tcW w:w="1860" w:type="dxa"/>
            <w:tcMar>
              <w:top w:w="0" w:type="dxa"/>
              <w:bottom w:w="0" w:type="dxa"/>
            </w:tcMar>
            <w:vAlign w:val="center"/>
          </w:tcPr>
          <w:p w14:paraId="4A6D2FE8" w14:textId="77777777" w:rsidR="00E22566" w:rsidRDefault="00000000">
            <w:pPr>
              <w:keepNext/>
              <w:keepLines/>
              <w:spacing w:after="0" w:line="240" w:lineRule="auto"/>
              <w:jc w:val="right"/>
            </w:pPr>
            <w:r>
              <w:rPr>
                <w:sz w:val="18"/>
              </w:rPr>
              <w:t>0,00</w:t>
            </w:r>
          </w:p>
        </w:tc>
        <w:tc>
          <w:tcPr>
            <w:tcW w:w="1860" w:type="dxa"/>
            <w:tcMar>
              <w:top w:w="0" w:type="dxa"/>
              <w:bottom w:w="0" w:type="dxa"/>
            </w:tcMar>
            <w:vAlign w:val="center"/>
          </w:tcPr>
          <w:p w14:paraId="59D3A7D4" w14:textId="77777777" w:rsidR="00E22566" w:rsidRDefault="00000000">
            <w:pPr>
              <w:keepNext/>
              <w:keepLines/>
              <w:spacing w:after="0" w:line="240" w:lineRule="auto"/>
              <w:jc w:val="right"/>
            </w:pPr>
            <w:r>
              <w:rPr>
                <w:sz w:val="18"/>
              </w:rPr>
              <w:t>6.305,47</w:t>
            </w:r>
          </w:p>
        </w:tc>
        <w:tc>
          <w:tcPr>
            <w:tcW w:w="700" w:type="dxa"/>
            <w:tcMar>
              <w:top w:w="0" w:type="dxa"/>
              <w:bottom w:w="0" w:type="dxa"/>
            </w:tcMar>
            <w:vAlign w:val="center"/>
          </w:tcPr>
          <w:p w14:paraId="27DA53F9" w14:textId="77777777" w:rsidR="00E22566" w:rsidRDefault="00000000">
            <w:pPr>
              <w:keepNext/>
              <w:keepLines/>
              <w:spacing w:after="0" w:line="240" w:lineRule="auto"/>
              <w:jc w:val="right"/>
            </w:pPr>
            <w:r>
              <w:rPr>
                <w:sz w:val="18"/>
              </w:rPr>
              <w:t>-</w:t>
            </w:r>
          </w:p>
        </w:tc>
      </w:tr>
    </w:tbl>
    <w:p w14:paraId="51461010" w14:textId="77777777" w:rsidR="00E22566" w:rsidRDefault="00E22566">
      <w:pPr>
        <w:spacing w:after="0"/>
      </w:pPr>
    </w:p>
    <w:p w14:paraId="07E31041" w14:textId="77777777" w:rsidR="00E22566" w:rsidRDefault="00000000">
      <w:pPr>
        <w:jc w:val="both"/>
      </w:pPr>
      <w:r>
        <w:t>Na kontu 27 evidentirane su obveze u iznosu od 6.305,47 EUR, a odnose se na uplaćena jamstva za uredno izvršenje ugovora od strane dobavljača. </w:t>
      </w:r>
    </w:p>
    <w:p w14:paraId="2CF34A4F" w14:textId="77777777" w:rsidR="00E22566" w:rsidRDefault="00000000">
      <w:r>
        <w:t> </w:t>
      </w:r>
    </w:p>
    <w:p w14:paraId="0C767120" w14:textId="77777777" w:rsidR="00E22566" w:rsidRDefault="00E22566"/>
    <w:p w14:paraId="36DE837C" w14:textId="77777777" w:rsidR="00E22566"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0665E3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6701FE"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C42DDD"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2040C9"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62667D"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02B2D5"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093851A" w14:textId="77777777" w:rsidR="00E22566" w:rsidRDefault="00000000">
            <w:pPr>
              <w:keepNext/>
              <w:keepLines/>
              <w:spacing w:after="0" w:line="240" w:lineRule="auto"/>
              <w:jc w:val="center"/>
            </w:pPr>
            <w:r>
              <w:rPr>
                <w:b/>
                <w:sz w:val="18"/>
              </w:rPr>
              <w:t>Indeks (%)</w:t>
            </w:r>
          </w:p>
        </w:tc>
      </w:tr>
      <w:tr w:rsidR="00E22566" w14:paraId="7D09139B" w14:textId="77777777">
        <w:tblPrEx>
          <w:tblCellMar>
            <w:top w:w="0" w:type="dxa"/>
            <w:bottom w:w="0" w:type="dxa"/>
          </w:tblCellMar>
        </w:tblPrEx>
        <w:trPr>
          <w:cantSplit/>
          <w:trHeight w:val="560"/>
        </w:trPr>
        <w:tc>
          <w:tcPr>
            <w:tcW w:w="700" w:type="dxa"/>
            <w:tcMar>
              <w:top w:w="0" w:type="dxa"/>
              <w:bottom w:w="0" w:type="dxa"/>
            </w:tcMar>
            <w:vAlign w:val="center"/>
          </w:tcPr>
          <w:p w14:paraId="0DCBFFEB" w14:textId="77777777" w:rsidR="00E22566" w:rsidRDefault="00000000">
            <w:pPr>
              <w:keepNext/>
              <w:keepLines/>
              <w:spacing w:after="0" w:line="240" w:lineRule="auto"/>
            </w:pPr>
            <w:r>
              <w:rPr>
                <w:sz w:val="18"/>
              </w:rPr>
              <w:t>29</w:t>
            </w:r>
          </w:p>
        </w:tc>
        <w:tc>
          <w:tcPr>
            <w:tcW w:w="3180" w:type="dxa"/>
            <w:tcMar>
              <w:top w:w="0" w:type="dxa"/>
              <w:bottom w:w="0" w:type="dxa"/>
            </w:tcMar>
            <w:vAlign w:val="center"/>
          </w:tcPr>
          <w:p w14:paraId="6625A2E6" w14:textId="77777777" w:rsidR="00E22566" w:rsidRDefault="00000000">
            <w:pPr>
              <w:keepNext/>
              <w:keepLines/>
              <w:spacing w:after="0" w:line="240" w:lineRule="auto"/>
            </w:pPr>
            <w:r>
              <w:rPr>
                <w:sz w:val="18"/>
              </w:rPr>
              <w:t>Odgođeno plaćanje rashoda i prihodi budućih razdoblja (pasivna vremenska razgraničenja) (šifre 291+292)</w:t>
            </w:r>
          </w:p>
        </w:tc>
        <w:tc>
          <w:tcPr>
            <w:tcW w:w="700" w:type="dxa"/>
            <w:tcMar>
              <w:top w:w="0" w:type="dxa"/>
              <w:bottom w:w="0" w:type="dxa"/>
            </w:tcMar>
            <w:vAlign w:val="center"/>
          </w:tcPr>
          <w:p w14:paraId="4CE74B2A" w14:textId="77777777" w:rsidR="00E22566" w:rsidRDefault="00000000">
            <w:pPr>
              <w:keepNext/>
              <w:keepLines/>
              <w:spacing w:after="0" w:line="240" w:lineRule="auto"/>
            </w:pPr>
            <w:r>
              <w:rPr>
                <w:sz w:val="18"/>
              </w:rPr>
              <w:t>29</w:t>
            </w:r>
          </w:p>
        </w:tc>
        <w:tc>
          <w:tcPr>
            <w:tcW w:w="1860" w:type="dxa"/>
            <w:tcMar>
              <w:top w:w="0" w:type="dxa"/>
              <w:bottom w:w="0" w:type="dxa"/>
            </w:tcMar>
            <w:vAlign w:val="center"/>
          </w:tcPr>
          <w:p w14:paraId="603B5C87" w14:textId="77777777" w:rsidR="00E22566" w:rsidRDefault="00000000">
            <w:pPr>
              <w:keepNext/>
              <w:keepLines/>
              <w:spacing w:after="0" w:line="240" w:lineRule="auto"/>
              <w:jc w:val="right"/>
            </w:pPr>
            <w:r>
              <w:rPr>
                <w:sz w:val="18"/>
              </w:rPr>
              <w:t>18.582,95</w:t>
            </w:r>
          </w:p>
        </w:tc>
        <w:tc>
          <w:tcPr>
            <w:tcW w:w="1860" w:type="dxa"/>
            <w:tcMar>
              <w:top w:w="0" w:type="dxa"/>
              <w:bottom w:w="0" w:type="dxa"/>
            </w:tcMar>
            <w:vAlign w:val="center"/>
          </w:tcPr>
          <w:p w14:paraId="605991D0" w14:textId="77777777" w:rsidR="00E22566" w:rsidRDefault="00000000">
            <w:pPr>
              <w:keepNext/>
              <w:keepLines/>
              <w:spacing w:after="0" w:line="240" w:lineRule="auto"/>
              <w:jc w:val="right"/>
            </w:pPr>
            <w:r>
              <w:rPr>
                <w:sz w:val="18"/>
              </w:rPr>
              <w:t>21.350,66</w:t>
            </w:r>
          </w:p>
        </w:tc>
        <w:tc>
          <w:tcPr>
            <w:tcW w:w="700" w:type="dxa"/>
            <w:tcMar>
              <w:top w:w="0" w:type="dxa"/>
              <w:bottom w:w="0" w:type="dxa"/>
            </w:tcMar>
            <w:vAlign w:val="center"/>
          </w:tcPr>
          <w:p w14:paraId="673BD28B" w14:textId="77777777" w:rsidR="00E22566" w:rsidRDefault="00000000">
            <w:pPr>
              <w:keepNext/>
              <w:keepLines/>
              <w:spacing w:after="0" w:line="240" w:lineRule="auto"/>
              <w:jc w:val="right"/>
            </w:pPr>
            <w:r>
              <w:rPr>
                <w:sz w:val="18"/>
              </w:rPr>
              <w:t>114,9</w:t>
            </w:r>
          </w:p>
        </w:tc>
      </w:tr>
    </w:tbl>
    <w:p w14:paraId="60421DD6" w14:textId="77777777" w:rsidR="00E22566" w:rsidRDefault="00E22566">
      <w:pPr>
        <w:spacing w:after="0"/>
      </w:pPr>
    </w:p>
    <w:p w14:paraId="637F96BF" w14:textId="77777777" w:rsidR="00E22566" w:rsidRDefault="00000000">
      <w:pPr>
        <w:jc w:val="both"/>
      </w:pPr>
      <w:r>
        <w:t>Na kontu 29 Odgođeno plaćanje rashoda i prihodi budućih razdoblja evidentiran je iznos od 21.350,66 EUR, a odnosi se na pretplate korisnika za pružanje socijalnih usluga u 2025. godini i ranije i veći je za 14,9% u odnosu na početak godine.</w:t>
      </w:r>
    </w:p>
    <w:p w14:paraId="30C70ED4" w14:textId="77777777" w:rsidR="00E22566" w:rsidRDefault="00E22566"/>
    <w:p w14:paraId="5F90B501" w14:textId="77777777" w:rsidR="00E22566"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6F3DF2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7CC6F9"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EA0F9B"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657C49"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5DC13A"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CABD91"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D721F2" w14:textId="77777777" w:rsidR="00E22566" w:rsidRDefault="00000000">
            <w:pPr>
              <w:keepNext/>
              <w:keepLines/>
              <w:spacing w:after="0" w:line="240" w:lineRule="auto"/>
              <w:jc w:val="center"/>
            </w:pPr>
            <w:r>
              <w:rPr>
                <w:b/>
                <w:sz w:val="18"/>
              </w:rPr>
              <w:t>Indeks (%)</w:t>
            </w:r>
          </w:p>
        </w:tc>
      </w:tr>
      <w:tr w:rsidR="00E22566" w14:paraId="160FC1C0" w14:textId="77777777">
        <w:tblPrEx>
          <w:tblCellMar>
            <w:top w:w="0" w:type="dxa"/>
            <w:bottom w:w="0" w:type="dxa"/>
          </w:tblCellMar>
        </w:tblPrEx>
        <w:trPr>
          <w:cantSplit/>
          <w:trHeight w:val="560"/>
        </w:trPr>
        <w:tc>
          <w:tcPr>
            <w:tcW w:w="700" w:type="dxa"/>
            <w:tcMar>
              <w:top w:w="0" w:type="dxa"/>
              <w:bottom w:w="0" w:type="dxa"/>
            </w:tcMar>
            <w:vAlign w:val="center"/>
          </w:tcPr>
          <w:p w14:paraId="368215C0" w14:textId="77777777" w:rsidR="00E22566" w:rsidRDefault="00000000">
            <w:pPr>
              <w:keepNext/>
              <w:keepLines/>
              <w:spacing w:after="0" w:line="240" w:lineRule="auto"/>
            </w:pPr>
            <w:r>
              <w:rPr>
                <w:sz w:val="18"/>
              </w:rPr>
              <w:t>922</w:t>
            </w:r>
          </w:p>
        </w:tc>
        <w:tc>
          <w:tcPr>
            <w:tcW w:w="3180" w:type="dxa"/>
            <w:tcMar>
              <w:top w:w="0" w:type="dxa"/>
              <w:bottom w:w="0" w:type="dxa"/>
            </w:tcMar>
            <w:vAlign w:val="center"/>
          </w:tcPr>
          <w:p w14:paraId="378944A3" w14:textId="77777777" w:rsidR="00E22566"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281AEB8C" w14:textId="77777777" w:rsidR="00E22566" w:rsidRDefault="00000000">
            <w:pPr>
              <w:keepNext/>
              <w:keepLines/>
              <w:spacing w:after="0" w:line="240" w:lineRule="auto"/>
            </w:pPr>
            <w:r>
              <w:rPr>
                <w:sz w:val="18"/>
              </w:rPr>
              <w:t>922</w:t>
            </w:r>
          </w:p>
        </w:tc>
        <w:tc>
          <w:tcPr>
            <w:tcW w:w="1860" w:type="dxa"/>
            <w:tcMar>
              <w:top w:w="0" w:type="dxa"/>
              <w:bottom w:w="0" w:type="dxa"/>
            </w:tcMar>
            <w:vAlign w:val="center"/>
          </w:tcPr>
          <w:p w14:paraId="2BCB1488" w14:textId="77777777" w:rsidR="00E22566" w:rsidRDefault="00000000">
            <w:pPr>
              <w:keepNext/>
              <w:keepLines/>
              <w:spacing w:after="0" w:line="240" w:lineRule="auto"/>
              <w:jc w:val="right"/>
            </w:pPr>
            <w:r>
              <w:rPr>
                <w:sz w:val="18"/>
              </w:rPr>
              <w:t>-104.187,36</w:t>
            </w:r>
          </w:p>
        </w:tc>
        <w:tc>
          <w:tcPr>
            <w:tcW w:w="1860" w:type="dxa"/>
            <w:tcMar>
              <w:top w:w="0" w:type="dxa"/>
              <w:bottom w:w="0" w:type="dxa"/>
            </w:tcMar>
            <w:vAlign w:val="center"/>
          </w:tcPr>
          <w:p w14:paraId="28DF6180" w14:textId="77777777" w:rsidR="00E22566" w:rsidRDefault="00000000">
            <w:pPr>
              <w:keepNext/>
              <w:keepLines/>
              <w:spacing w:after="0" w:line="240" w:lineRule="auto"/>
              <w:jc w:val="right"/>
            </w:pPr>
            <w:r>
              <w:rPr>
                <w:sz w:val="18"/>
              </w:rPr>
              <w:t>-113.991,67</w:t>
            </w:r>
          </w:p>
        </w:tc>
        <w:tc>
          <w:tcPr>
            <w:tcW w:w="700" w:type="dxa"/>
            <w:tcMar>
              <w:top w:w="0" w:type="dxa"/>
              <w:bottom w:w="0" w:type="dxa"/>
            </w:tcMar>
            <w:vAlign w:val="center"/>
          </w:tcPr>
          <w:p w14:paraId="1CAC38E7" w14:textId="77777777" w:rsidR="00E22566" w:rsidRDefault="00000000">
            <w:pPr>
              <w:keepNext/>
              <w:keepLines/>
              <w:spacing w:after="0" w:line="240" w:lineRule="auto"/>
              <w:jc w:val="right"/>
            </w:pPr>
            <w:r>
              <w:rPr>
                <w:sz w:val="18"/>
              </w:rPr>
              <w:t>109,4</w:t>
            </w:r>
          </w:p>
        </w:tc>
      </w:tr>
    </w:tbl>
    <w:p w14:paraId="75888F54" w14:textId="77777777" w:rsidR="00E22566" w:rsidRDefault="00E22566">
      <w:pPr>
        <w:spacing w:after="0"/>
      </w:pPr>
    </w:p>
    <w:p w14:paraId="12EF8CA5" w14:textId="77777777" w:rsidR="00E22566" w:rsidRDefault="00000000">
      <w:pPr>
        <w:jc w:val="both"/>
      </w:pPr>
      <w:r>
        <w:t>Na kontu 922 je iskazan manjak prihoda za pokriće u sljedećem razdoblju i iznosi 113.991,67 EUR, a sastoji se od sljedećeg:</w:t>
      </w:r>
    </w:p>
    <w:p w14:paraId="0AF344A0" w14:textId="77777777" w:rsidR="00E22566" w:rsidRDefault="00000000">
      <w:r>
        <w:lastRenderedPageBreak/>
        <w:t>-           120.829,29 EUR – manjak prihoda poslovanja od čega je 104.053,78 EUR preneseni manjak iz prijašnjih godina, a 16.775,51 EUR tekući manjak prihoda poslovanja;</w:t>
      </w:r>
    </w:p>
    <w:p w14:paraId="319C67D2" w14:textId="77777777" w:rsidR="00E22566" w:rsidRDefault="00000000">
      <w:r>
        <w:t>-           4.027,73 EUR – manjak prihoda od nefinancijske imovine;</w:t>
      </w:r>
    </w:p>
    <w:p w14:paraId="5847B7E2" w14:textId="77777777" w:rsidR="00E22566" w:rsidRDefault="00000000">
      <w:r>
        <w:t>-           7.599,43 EUR – višak prihoda poslovanja ostvarenog na tržištu (najam prostora);</w:t>
      </w:r>
    </w:p>
    <w:p w14:paraId="526635B6" w14:textId="77777777" w:rsidR="00E22566" w:rsidRDefault="00000000">
      <w:r>
        <w:t>-          3.265,92 EUR – višak prihoda poslovanja ostvarenog od uplaćene ukupne svote plaća za razdoblje od 12.05.2025. do 11.02.2026. godine od strane Hrvatskog zavoda za zapošljavanje za radnike koji su zaposleni u Domu u okviru mjere aktivne politike zapošljavanja Javni rad POSAO+. </w:t>
      </w:r>
    </w:p>
    <w:p w14:paraId="36277470" w14:textId="77777777" w:rsidR="00E22566" w:rsidRDefault="00000000">
      <w:r>
        <w:t>Višak/manjak po aktivnostima i izvorima</w:t>
      </w:r>
    </w:p>
    <w:tbl>
      <w:tblPr>
        <w:tblStyle w:val="TableGrid"/>
        <w:tblW w:w="5000" w:type="pct"/>
        <w:tblLook w:val="04A0" w:firstRow="1" w:lastRow="0" w:firstColumn="1" w:lastColumn="0" w:noHBand="0" w:noVBand="1"/>
      </w:tblPr>
      <w:tblGrid>
        <w:gridCol w:w="1362"/>
        <w:gridCol w:w="1869"/>
        <w:gridCol w:w="2128"/>
        <w:gridCol w:w="1487"/>
        <w:gridCol w:w="2216"/>
      </w:tblGrid>
      <w:tr w:rsidR="00E22566" w14:paraId="05B2B2AA" w14:textId="77777777">
        <w:trPr>
          <w:trHeight w:val="1598"/>
        </w:trPr>
        <w:tc>
          <w:tcPr>
            <w:tcW w:w="571" w:type="pct"/>
            <w:vAlign w:val="center"/>
          </w:tcPr>
          <w:p w14:paraId="22AAC70E" w14:textId="77777777" w:rsidR="00E22566" w:rsidRDefault="00000000">
            <w:pPr>
              <w:keepNext/>
              <w:jc w:val="center"/>
            </w:pPr>
            <w:r>
              <w:t>Izvor financiranja</w:t>
            </w:r>
          </w:p>
        </w:tc>
        <w:tc>
          <w:tcPr>
            <w:tcW w:w="1097" w:type="pct"/>
            <w:vAlign w:val="center"/>
          </w:tcPr>
          <w:p w14:paraId="0CA319D0" w14:textId="77777777" w:rsidR="00E22566" w:rsidRDefault="00000000">
            <w:pPr>
              <w:jc w:val="center"/>
            </w:pPr>
            <w:r>
              <w:t>Preneseni manjak iz 2024.</w:t>
            </w:r>
          </w:p>
          <w:p w14:paraId="6821FD1A" w14:textId="77777777" w:rsidR="00E22566" w:rsidRDefault="00000000">
            <w:pPr>
              <w:jc w:val="center"/>
            </w:pPr>
            <w:r>
              <w:t>(EUR)</w:t>
            </w:r>
          </w:p>
        </w:tc>
        <w:tc>
          <w:tcPr>
            <w:tcW w:w="1240" w:type="pct"/>
            <w:vAlign w:val="center"/>
          </w:tcPr>
          <w:p w14:paraId="7AF7C5A7" w14:textId="77777777" w:rsidR="00E22566" w:rsidRDefault="00000000">
            <w:pPr>
              <w:keepNext/>
              <w:jc w:val="center"/>
            </w:pPr>
            <w:r>
              <w:t>Višak prihoda 2025.</w:t>
            </w:r>
          </w:p>
          <w:p w14:paraId="0E669780" w14:textId="77777777" w:rsidR="00E22566" w:rsidRDefault="00000000">
            <w:pPr>
              <w:keepNext/>
              <w:jc w:val="center"/>
            </w:pPr>
            <w:r>
              <w:t>(EUR)</w:t>
            </w:r>
          </w:p>
        </w:tc>
        <w:tc>
          <w:tcPr>
            <w:tcW w:w="886" w:type="pct"/>
            <w:vAlign w:val="center"/>
          </w:tcPr>
          <w:p w14:paraId="10CEB87C" w14:textId="77777777" w:rsidR="00E22566" w:rsidRDefault="00000000">
            <w:pPr>
              <w:jc w:val="center"/>
            </w:pPr>
            <w:r>
              <w:t>Manjak prihoda 2025.</w:t>
            </w:r>
          </w:p>
          <w:p w14:paraId="65881C40" w14:textId="77777777" w:rsidR="00E22566" w:rsidRDefault="00000000">
            <w:pPr>
              <w:jc w:val="center"/>
            </w:pPr>
            <w:r>
              <w:t>(EUR)</w:t>
            </w:r>
          </w:p>
        </w:tc>
        <w:tc>
          <w:tcPr>
            <w:tcW w:w="1203" w:type="pct"/>
            <w:vAlign w:val="center"/>
          </w:tcPr>
          <w:p w14:paraId="31B0ADB9" w14:textId="77777777" w:rsidR="00E22566" w:rsidRDefault="00000000">
            <w:pPr>
              <w:jc w:val="center"/>
            </w:pPr>
            <w:r>
              <w:t>Rezultat 31.12.2025.</w:t>
            </w:r>
          </w:p>
          <w:p w14:paraId="62057051" w14:textId="77777777" w:rsidR="00E22566" w:rsidRDefault="00000000">
            <w:pPr>
              <w:jc w:val="center"/>
            </w:pPr>
            <w:r>
              <w:t>(EUR)</w:t>
            </w:r>
          </w:p>
        </w:tc>
      </w:tr>
      <w:tr w:rsidR="00E22566" w14:paraId="05BF6C58" w14:textId="77777777">
        <w:trPr>
          <w:trHeight w:val="1022"/>
        </w:trPr>
        <w:tc>
          <w:tcPr>
            <w:tcW w:w="571" w:type="pct"/>
            <w:vAlign w:val="center"/>
          </w:tcPr>
          <w:p w14:paraId="337CD211" w14:textId="77777777" w:rsidR="00E22566" w:rsidRDefault="00000000">
            <w:pPr>
              <w:keepNext/>
            </w:pPr>
            <w:r>
              <w:t>43</w:t>
            </w:r>
          </w:p>
          <w:p w14:paraId="56939364" w14:textId="77777777" w:rsidR="00E22566" w:rsidRDefault="00000000">
            <w:pPr>
              <w:keepNext/>
            </w:pPr>
            <w:r>
              <w:t>Prihod za posebne namjene</w:t>
            </w:r>
          </w:p>
        </w:tc>
        <w:tc>
          <w:tcPr>
            <w:tcW w:w="1097" w:type="pct"/>
            <w:vAlign w:val="center"/>
          </w:tcPr>
          <w:p w14:paraId="768A4C86" w14:textId="77777777" w:rsidR="00E22566" w:rsidRDefault="00000000">
            <w:pPr>
              <w:jc w:val="right"/>
            </w:pPr>
            <w:r>
              <w:t>104.053,78</w:t>
            </w:r>
          </w:p>
        </w:tc>
        <w:tc>
          <w:tcPr>
            <w:tcW w:w="1240" w:type="pct"/>
            <w:vAlign w:val="center"/>
          </w:tcPr>
          <w:p w14:paraId="32A6B1C8" w14:textId="77777777" w:rsidR="00E22566" w:rsidRDefault="00000000">
            <w:pPr>
              <w:keepNext/>
              <w:jc w:val="center"/>
            </w:pPr>
            <w:r>
              <w:t> </w:t>
            </w:r>
          </w:p>
        </w:tc>
        <w:tc>
          <w:tcPr>
            <w:tcW w:w="886" w:type="pct"/>
            <w:vAlign w:val="center"/>
          </w:tcPr>
          <w:p w14:paraId="3FFF1E4C" w14:textId="77777777" w:rsidR="00E22566" w:rsidRDefault="00000000">
            <w:pPr>
              <w:jc w:val="right"/>
            </w:pPr>
            <w:r>
              <w:t>20.803,24</w:t>
            </w:r>
          </w:p>
        </w:tc>
        <w:tc>
          <w:tcPr>
            <w:tcW w:w="1203" w:type="pct"/>
            <w:vAlign w:val="center"/>
          </w:tcPr>
          <w:p w14:paraId="393A1EE1" w14:textId="77777777" w:rsidR="00E22566" w:rsidRDefault="00000000">
            <w:pPr>
              <w:jc w:val="right"/>
            </w:pPr>
            <w:r>
              <w:t>124.857,02</w:t>
            </w:r>
          </w:p>
        </w:tc>
      </w:tr>
      <w:tr w:rsidR="00E22566" w14:paraId="6B5C5614" w14:textId="77777777">
        <w:tc>
          <w:tcPr>
            <w:tcW w:w="571" w:type="pct"/>
            <w:vAlign w:val="center"/>
          </w:tcPr>
          <w:p w14:paraId="1BAC0DD7" w14:textId="77777777" w:rsidR="00E22566" w:rsidRDefault="00000000">
            <w:pPr>
              <w:keepNext/>
            </w:pPr>
            <w:r>
              <w:t>32 </w:t>
            </w:r>
          </w:p>
          <w:p w14:paraId="329BA87B" w14:textId="77777777" w:rsidR="00E22566" w:rsidRDefault="00000000">
            <w:pPr>
              <w:keepNext/>
            </w:pPr>
            <w:r>
              <w:t>Vlastiti prihodi</w:t>
            </w:r>
          </w:p>
        </w:tc>
        <w:tc>
          <w:tcPr>
            <w:tcW w:w="1097" w:type="pct"/>
            <w:vAlign w:val="center"/>
          </w:tcPr>
          <w:p w14:paraId="189B3314" w14:textId="77777777" w:rsidR="00E22566" w:rsidRDefault="00000000">
            <w:pPr>
              <w:jc w:val="center"/>
            </w:pPr>
            <w:r>
              <w:t> </w:t>
            </w:r>
          </w:p>
        </w:tc>
        <w:tc>
          <w:tcPr>
            <w:tcW w:w="1240" w:type="pct"/>
            <w:vAlign w:val="center"/>
          </w:tcPr>
          <w:p w14:paraId="1503492E" w14:textId="77777777" w:rsidR="00E22566" w:rsidRDefault="00000000">
            <w:pPr>
              <w:keepNext/>
              <w:jc w:val="right"/>
            </w:pPr>
            <w:r>
              <w:t>7.599,43</w:t>
            </w:r>
          </w:p>
        </w:tc>
        <w:tc>
          <w:tcPr>
            <w:tcW w:w="886" w:type="pct"/>
            <w:vAlign w:val="center"/>
          </w:tcPr>
          <w:p w14:paraId="3A1B250E" w14:textId="77777777" w:rsidR="00E22566" w:rsidRDefault="00000000">
            <w:pPr>
              <w:jc w:val="center"/>
            </w:pPr>
            <w:r>
              <w:t> </w:t>
            </w:r>
          </w:p>
        </w:tc>
        <w:tc>
          <w:tcPr>
            <w:tcW w:w="1203" w:type="pct"/>
            <w:vAlign w:val="center"/>
          </w:tcPr>
          <w:p w14:paraId="3E695E88" w14:textId="77777777" w:rsidR="00E22566" w:rsidRDefault="00000000">
            <w:pPr>
              <w:jc w:val="center"/>
            </w:pPr>
            <w:r>
              <w:t> </w:t>
            </w:r>
          </w:p>
        </w:tc>
      </w:tr>
      <w:tr w:rsidR="00E22566" w14:paraId="794D35EF" w14:textId="77777777">
        <w:trPr>
          <w:trHeight w:val="1022"/>
        </w:trPr>
        <w:tc>
          <w:tcPr>
            <w:tcW w:w="571" w:type="pct"/>
            <w:vAlign w:val="center"/>
          </w:tcPr>
          <w:p w14:paraId="505F32D4" w14:textId="77777777" w:rsidR="00E22566" w:rsidRDefault="00000000">
            <w:pPr>
              <w:keepNext/>
            </w:pPr>
            <w:r>
              <w:t>53</w:t>
            </w:r>
          </w:p>
          <w:p w14:paraId="6F2DC8B4" w14:textId="77777777" w:rsidR="00E22566" w:rsidRDefault="00000000">
            <w:pPr>
              <w:keepNext/>
            </w:pPr>
            <w:r>
              <w:t>Pomoći - HZZ (javni radovi)</w:t>
            </w:r>
          </w:p>
        </w:tc>
        <w:tc>
          <w:tcPr>
            <w:tcW w:w="1097" w:type="pct"/>
            <w:vAlign w:val="center"/>
          </w:tcPr>
          <w:p w14:paraId="4A798B7D" w14:textId="77777777" w:rsidR="00E22566" w:rsidRDefault="00000000">
            <w:pPr>
              <w:jc w:val="center"/>
            </w:pPr>
            <w:r>
              <w:t> </w:t>
            </w:r>
          </w:p>
        </w:tc>
        <w:tc>
          <w:tcPr>
            <w:tcW w:w="1240" w:type="pct"/>
            <w:vAlign w:val="center"/>
          </w:tcPr>
          <w:p w14:paraId="33E91C0B" w14:textId="77777777" w:rsidR="00E22566" w:rsidRDefault="00000000">
            <w:pPr>
              <w:keepNext/>
              <w:jc w:val="right"/>
            </w:pPr>
            <w:r>
              <w:t>3.265,92</w:t>
            </w:r>
          </w:p>
        </w:tc>
        <w:tc>
          <w:tcPr>
            <w:tcW w:w="886" w:type="pct"/>
            <w:vAlign w:val="center"/>
          </w:tcPr>
          <w:p w14:paraId="10E59F7A" w14:textId="77777777" w:rsidR="00E22566" w:rsidRDefault="00000000">
            <w:pPr>
              <w:jc w:val="center"/>
            </w:pPr>
            <w:r>
              <w:t> </w:t>
            </w:r>
          </w:p>
        </w:tc>
        <w:tc>
          <w:tcPr>
            <w:tcW w:w="1203" w:type="pct"/>
            <w:vAlign w:val="center"/>
          </w:tcPr>
          <w:p w14:paraId="5423B7C0" w14:textId="77777777" w:rsidR="00E22566" w:rsidRDefault="00000000">
            <w:pPr>
              <w:jc w:val="center"/>
            </w:pPr>
            <w:r>
              <w:t> </w:t>
            </w:r>
          </w:p>
        </w:tc>
      </w:tr>
      <w:tr w:rsidR="00E22566" w14:paraId="519F20BD" w14:textId="77777777">
        <w:trPr>
          <w:trHeight w:val="1022"/>
        </w:trPr>
        <w:tc>
          <w:tcPr>
            <w:tcW w:w="571" w:type="pct"/>
            <w:vAlign w:val="center"/>
          </w:tcPr>
          <w:p w14:paraId="221B1553" w14:textId="77777777" w:rsidR="00E22566" w:rsidRDefault="00000000">
            <w:pPr>
              <w:keepNext/>
              <w:jc w:val="center"/>
            </w:pPr>
            <w:r>
              <w:t>UKUPNO:</w:t>
            </w:r>
          </w:p>
        </w:tc>
        <w:tc>
          <w:tcPr>
            <w:tcW w:w="1097" w:type="pct"/>
            <w:vAlign w:val="center"/>
          </w:tcPr>
          <w:p w14:paraId="040DE29A" w14:textId="77777777" w:rsidR="00E22566" w:rsidRDefault="00000000">
            <w:pPr>
              <w:jc w:val="right"/>
            </w:pPr>
            <w:r>
              <w:t>104.053,78</w:t>
            </w:r>
          </w:p>
        </w:tc>
        <w:tc>
          <w:tcPr>
            <w:tcW w:w="1240" w:type="pct"/>
            <w:vAlign w:val="center"/>
          </w:tcPr>
          <w:p w14:paraId="23BAF26F" w14:textId="77777777" w:rsidR="00E22566" w:rsidRDefault="00000000">
            <w:pPr>
              <w:keepNext/>
              <w:jc w:val="right"/>
            </w:pPr>
            <w:r>
              <w:t>10.865,35</w:t>
            </w:r>
          </w:p>
        </w:tc>
        <w:tc>
          <w:tcPr>
            <w:tcW w:w="886" w:type="pct"/>
            <w:vAlign w:val="center"/>
          </w:tcPr>
          <w:p w14:paraId="55F3408C" w14:textId="77777777" w:rsidR="00E22566" w:rsidRDefault="00000000">
            <w:pPr>
              <w:jc w:val="right"/>
            </w:pPr>
            <w:r>
              <w:t>20.803,24</w:t>
            </w:r>
          </w:p>
        </w:tc>
        <w:tc>
          <w:tcPr>
            <w:tcW w:w="1203" w:type="pct"/>
            <w:vAlign w:val="center"/>
          </w:tcPr>
          <w:p w14:paraId="70002BD9" w14:textId="77777777" w:rsidR="00E22566" w:rsidRDefault="00000000">
            <w:pPr>
              <w:jc w:val="right"/>
            </w:pPr>
            <w:r>
              <w:t>113.991,67</w:t>
            </w:r>
          </w:p>
        </w:tc>
      </w:tr>
    </w:tbl>
    <w:p w14:paraId="60B7C4B4" w14:textId="77777777" w:rsidR="00E22566" w:rsidRDefault="00000000">
      <w:pPr>
        <w:jc w:val="both"/>
      </w:pPr>
      <w:r>
        <w:t>Provođenje obveznih korekcija rezultata je tijekom zaključivanja poslovne 2025. godine napravljeno na izvoru 11 tj. općim prihodima i primicima i to u dijelu koji se odnosi na nefinancijsku imovinu u iznosu od 113.828,40 EUR, izvoru Prihoda za poslovne namjene u iznosu od 167,20 EUR te izvoru 53 Pomoći u iznosu od 795,43 EUR (od čega se 17,18 EUR odnosi na manjak prihoda poslovanja – ispravci iz prethodnih razdoblja zbog konačnog obračuna prilikom usklađenja s HZZ i njihovim zahtjevom za povratom više uplaćenih sredstava i iznosa 778,25 EUR koji se odnosi na tekući manjak po navedenom izvoru).</w:t>
      </w:r>
    </w:p>
    <w:p w14:paraId="050229A0" w14:textId="77777777" w:rsidR="00E22566" w:rsidRDefault="00E22566"/>
    <w:p w14:paraId="3F0398BF" w14:textId="77777777" w:rsidR="00E22566" w:rsidRDefault="00000000">
      <w:pPr>
        <w:keepNext/>
        <w:spacing w:line="240" w:lineRule="auto"/>
        <w:jc w:val="center"/>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0FC487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07A504"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5244D3"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27193B"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FFF0AF"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C133FA"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F3E5D3" w14:textId="77777777" w:rsidR="00E22566" w:rsidRDefault="00000000">
            <w:pPr>
              <w:keepNext/>
              <w:keepLines/>
              <w:spacing w:after="0" w:line="240" w:lineRule="auto"/>
              <w:jc w:val="center"/>
            </w:pPr>
            <w:r>
              <w:rPr>
                <w:b/>
                <w:sz w:val="18"/>
              </w:rPr>
              <w:t>Indeks (%)</w:t>
            </w:r>
          </w:p>
        </w:tc>
      </w:tr>
      <w:tr w:rsidR="00E22566" w14:paraId="74F4BCA9" w14:textId="77777777">
        <w:tblPrEx>
          <w:tblCellMar>
            <w:top w:w="0" w:type="dxa"/>
            <w:bottom w:w="0" w:type="dxa"/>
          </w:tblCellMar>
        </w:tblPrEx>
        <w:trPr>
          <w:cantSplit/>
          <w:trHeight w:val="560"/>
        </w:trPr>
        <w:tc>
          <w:tcPr>
            <w:tcW w:w="700" w:type="dxa"/>
            <w:tcMar>
              <w:top w:w="0" w:type="dxa"/>
              <w:bottom w:w="0" w:type="dxa"/>
            </w:tcMar>
            <w:vAlign w:val="center"/>
          </w:tcPr>
          <w:p w14:paraId="0193D2E8" w14:textId="77777777" w:rsidR="00E22566" w:rsidRDefault="00000000">
            <w:pPr>
              <w:keepNext/>
              <w:keepLines/>
              <w:spacing w:after="0" w:line="240" w:lineRule="auto"/>
            </w:pPr>
            <w:r>
              <w:rPr>
                <w:sz w:val="18"/>
              </w:rPr>
              <w:t>991</w:t>
            </w:r>
          </w:p>
        </w:tc>
        <w:tc>
          <w:tcPr>
            <w:tcW w:w="3180" w:type="dxa"/>
            <w:tcMar>
              <w:top w:w="0" w:type="dxa"/>
              <w:bottom w:w="0" w:type="dxa"/>
            </w:tcMar>
            <w:vAlign w:val="center"/>
          </w:tcPr>
          <w:p w14:paraId="1F0EB03A" w14:textId="77777777" w:rsidR="00E22566" w:rsidRDefault="00000000">
            <w:pPr>
              <w:keepNext/>
              <w:keepLines/>
              <w:spacing w:after="0" w:line="240" w:lineRule="auto"/>
            </w:pPr>
            <w:r>
              <w:rPr>
                <w:sz w:val="18"/>
              </w:rPr>
              <w:t>Izvanbilančni zapisi - aktiva (šifra 996)</w:t>
            </w:r>
          </w:p>
        </w:tc>
        <w:tc>
          <w:tcPr>
            <w:tcW w:w="700" w:type="dxa"/>
            <w:tcMar>
              <w:top w:w="0" w:type="dxa"/>
              <w:bottom w:w="0" w:type="dxa"/>
            </w:tcMar>
            <w:vAlign w:val="center"/>
          </w:tcPr>
          <w:p w14:paraId="118B5F6A" w14:textId="77777777" w:rsidR="00E22566" w:rsidRDefault="00000000">
            <w:pPr>
              <w:keepNext/>
              <w:keepLines/>
              <w:spacing w:after="0" w:line="240" w:lineRule="auto"/>
            </w:pPr>
            <w:r>
              <w:rPr>
                <w:sz w:val="18"/>
              </w:rPr>
              <w:t>991</w:t>
            </w:r>
          </w:p>
        </w:tc>
        <w:tc>
          <w:tcPr>
            <w:tcW w:w="1860" w:type="dxa"/>
            <w:tcMar>
              <w:top w:w="0" w:type="dxa"/>
              <w:bottom w:w="0" w:type="dxa"/>
            </w:tcMar>
            <w:vAlign w:val="center"/>
          </w:tcPr>
          <w:p w14:paraId="2AD82948" w14:textId="77777777" w:rsidR="00E22566" w:rsidRDefault="00000000">
            <w:pPr>
              <w:keepNext/>
              <w:keepLines/>
              <w:spacing w:after="0" w:line="240" w:lineRule="auto"/>
              <w:jc w:val="right"/>
            </w:pPr>
            <w:r>
              <w:rPr>
                <w:sz w:val="18"/>
              </w:rPr>
              <w:t>1.437.018,86</w:t>
            </w:r>
          </w:p>
        </w:tc>
        <w:tc>
          <w:tcPr>
            <w:tcW w:w="1860" w:type="dxa"/>
            <w:tcMar>
              <w:top w:w="0" w:type="dxa"/>
              <w:bottom w:w="0" w:type="dxa"/>
            </w:tcMar>
            <w:vAlign w:val="center"/>
          </w:tcPr>
          <w:p w14:paraId="41B48117" w14:textId="77777777" w:rsidR="00E22566" w:rsidRDefault="00000000">
            <w:pPr>
              <w:keepNext/>
              <w:keepLines/>
              <w:spacing w:after="0" w:line="240" w:lineRule="auto"/>
              <w:jc w:val="right"/>
            </w:pPr>
            <w:r>
              <w:rPr>
                <w:sz w:val="18"/>
              </w:rPr>
              <w:t>5.599.818,33</w:t>
            </w:r>
          </w:p>
        </w:tc>
        <w:tc>
          <w:tcPr>
            <w:tcW w:w="700" w:type="dxa"/>
            <w:tcMar>
              <w:top w:w="0" w:type="dxa"/>
              <w:bottom w:w="0" w:type="dxa"/>
            </w:tcMar>
            <w:vAlign w:val="center"/>
          </w:tcPr>
          <w:p w14:paraId="44C92DF4" w14:textId="77777777" w:rsidR="00E22566" w:rsidRDefault="00000000">
            <w:pPr>
              <w:keepNext/>
              <w:keepLines/>
              <w:spacing w:after="0" w:line="240" w:lineRule="auto"/>
              <w:jc w:val="right"/>
            </w:pPr>
            <w:r>
              <w:rPr>
                <w:sz w:val="18"/>
              </w:rPr>
              <w:t>389,7</w:t>
            </w:r>
          </w:p>
        </w:tc>
      </w:tr>
    </w:tbl>
    <w:p w14:paraId="6BF6831F" w14:textId="77777777" w:rsidR="00E22566" w:rsidRDefault="00E22566">
      <w:pPr>
        <w:spacing w:after="0"/>
      </w:pPr>
    </w:p>
    <w:p w14:paraId="6B113378" w14:textId="77777777" w:rsidR="00E22566" w:rsidRDefault="00000000">
      <w:r>
        <w:t>Konto 991 Izvanbilančni zapisi na dan 31.12.2025. godine iznose 5.599.818,33 EUR. Stanje primljenih instrumenta osiguranja plaćanja iznosi 1.424.568,43 EUR tj. primljene bjanko zadužnice od korisnika za plaćanje usluge smještaja iznose 1.399.805,00 EUR, a primljene bjanko zadužnice od dobavljača za uredno ispunjenje ugovora o nabavi roba 24.763,43 EUR.  Navedeni konto uključuje i tuđu imovinu dobivenu na korištenje u izosu od 4.142.809,74 EUR, preuzete obveze po ugovorima o nabavi roba, radova i usluga u iznosu od 29.785,70 EUR i dana jamstva i osiguranja plaćanja u iznosu od 2.654,46 EUR.</w:t>
      </w:r>
    </w:p>
    <w:p w14:paraId="0DF08280" w14:textId="77777777" w:rsidR="00E22566" w:rsidRDefault="00000000">
      <w:r>
        <w:t>Navedeni konto bilježi značajno povećanje iz razloga što se u 2025. godini nekretnina u kojoj Dom obavlja svoju redovnu djelatnost isknjižila iz osnovnih sredstava i počela voditi kao tuđa imovina dobivena na korištenje.</w:t>
      </w:r>
    </w:p>
    <w:p w14:paraId="5ECB1E5F" w14:textId="77777777" w:rsidR="00E22566" w:rsidRDefault="00000000">
      <w:r>
        <w:t>Primljena jamstva i instrumenti osiguranja plaćanja:</w:t>
      </w:r>
    </w:p>
    <w:tbl>
      <w:tblPr>
        <w:tblStyle w:val="TableGrid"/>
        <w:tblW w:w="3748" w:type="pct"/>
        <w:tblLook w:val="04A0" w:firstRow="1" w:lastRow="0" w:firstColumn="1" w:lastColumn="0" w:noHBand="0" w:noVBand="1"/>
      </w:tblPr>
      <w:tblGrid>
        <w:gridCol w:w="790"/>
        <w:gridCol w:w="1576"/>
        <w:gridCol w:w="1356"/>
        <w:gridCol w:w="1596"/>
        <w:gridCol w:w="1562"/>
      </w:tblGrid>
      <w:tr w:rsidR="00E22566" w14:paraId="5375D9F6" w14:textId="77777777">
        <w:tc>
          <w:tcPr>
            <w:tcW w:w="350" w:type="pct"/>
            <w:vAlign w:val="center"/>
          </w:tcPr>
          <w:p w14:paraId="3159135B" w14:textId="77777777" w:rsidR="00E22566" w:rsidRDefault="00000000">
            <w:pPr>
              <w:jc w:val="center"/>
            </w:pPr>
            <w:r>
              <w:t>Redni</w:t>
            </w:r>
          </w:p>
          <w:p w14:paraId="414852AA" w14:textId="77777777" w:rsidR="00E22566" w:rsidRDefault="00000000">
            <w:pPr>
              <w:jc w:val="center"/>
            </w:pPr>
            <w:r>
              <w:t>broj</w:t>
            </w:r>
          </w:p>
        </w:tc>
        <w:tc>
          <w:tcPr>
            <w:tcW w:w="1328" w:type="pct"/>
            <w:vAlign w:val="center"/>
          </w:tcPr>
          <w:p w14:paraId="0E981DFA" w14:textId="77777777" w:rsidR="00E22566" w:rsidRDefault="00000000">
            <w:pPr>
              <w:keepNext/>
              <w:jc w:val="center"/>
            </w:pPr>
            <w:r>
              <w:t>OPIS</w:t>
            </w:r>
          </w:p>
        </w:tc>
        <w:tc>
          <w:tcPr>
            <w:tcW w:w="589" w:type="pct"/>
            <w:vAlign w:val="center"/>
          </w:tcPr>
          <w:p w14:paraId="7CC2A79B" w14:textId="77777777" w:rsidR="00E22566" w:rsidRDefault="00000000">
            <w:pPr>
              <w:keepNext/>
              <w:jc w:val="center"/>
            </w:pPr>
            <w:r>
              <w:t>Datum izdavanja</w:t>
            </w:r>
          </w:p>
        </w:tc>
        <w:tc>
          <w:tcPr>
            <w:tcW w:w="728" w:type="pct"/>
            <w:vAlign w:val="center"/>
          </w:tcPr>
          <w:p w14:paraId="52A4D075" w14:textId="77777777" w:rsidR="00E22566" w:rsidRDefault="00000000">
            <w:pPr>
              <w:jc w:val="center"/>
            </w:pPr>
            <w:r>
              <w:t>Iznos </w:t>
            </w:r>
          </w:p>
          <w:p w14:paraId="17DDE8C1" w14:textId="77777777" w:rsidR="00E22566" w:rsidRDefault="00000000">
            <w:pPr>
              <w:jc w:val="center"/>
            </w:pPr>
            <w:r>
              <w:t>(EUR)</w:t>
            </w:r>
          </w:p>
        </w:tc>
        <w:tc>
          <w:tcPr>
            <w:tcW w:w="2002" w:type="pct"/>
            <w:vAlign w:val="center"/>
          </w:tcPr>
          <w:p w14:paraId="3736FC32" w14:textId="77777777" w:rsidR="00E22566" w:rsidRDefault="00000000">
            <w:pPr>
              <w:keepNext/>
              <w:jc w:val="center"/>
            </w:pPr>
            <w:r>
              <w:t>Izvanbilančna evidencija</w:t>
            </w:r>
          </w:p>
        </w:tc>
      </w:tr>
      <w:tr w:rsidR="00E22566" w14:paraId="728BD7D9" w14:textId="77777777">
        <w:tc>
          <w:tcPr>
            <w:tcW w:w="350" w:type="pct"/>
            <w:vAlign w:val="center"/>
          </w:tcPr>
          <w:p w14:paraId="6B379D5D" w14:textId="77777777" w:rsidR="00E22566" w:rsidRDefault="00000000">
            <w:r>
              <w:t>1.</w:t>
            </w:r>
          </w:p>
        </w:tc>
        <w:tc>
          <w:tcPr>
            <w:tcW w:w="1328" w:type="pct"/>
            <w:vAlign w:val="center"/>
          </w:tcPr>
          <w:p w14:paraId="4F9CE14F" w14:textId="77777777" w:rsidR="00E22566" w:rsidRDefault="00000000">
            <w:pPr>
              <w:keepNext/>
              <w:jc w:val="both"/>
            </w:pPr>
            <w:r>
              <w:t>Primljena jamstva-bjanko zadužnice od korisnika usluga smještaja (ukupno)</w:t>
            </w:r>
          </w:p>
        </w:tc>
        <w:tc>
          <w:tcPr>
            <w:tcW w:w="589" w:type="pct"/>
            <w:vAlign w:val="center"/>
          </w:tcPr>
          <w:p w14:paraId="507C7C86" w14:textId="77777777" w:rsidR="00E22566" w:rsidRDefault="00000000">
            <w:r>
              <w:t> </w:t>
            </w:r>
          </w:p>
        </w:tc>
        <w:tc>
          <w:tcPr>
            <w:tcW w:w="728" w:type="pct"/>
            <w:vAlign w:val="center"/>
          </w:tcPr>
          <w:p w14:paraId="52C1FEF0" w14:textId="77777777" w:rsidR="00E22566" w:rsidRDefault="00000000">
            <w:pPr>
              <w:keepNext/>
              <w:jc w:val="right"/>
            </w:pPr>
            <w:r>
              <w:t>1.399.805,00</w:t>
            </w:r>
          </w:p>
        </w:tc>
        <w:tc>
          <w:tcPr>
            <w:tcW w:w="2002" w:type="pct"/>
            <w:vAlign w:val="center"/>
          </w:tcPr>
          <w:p w14:paraId="775E2A5B" w14:textId="77777777" w:rsidR="00E22566" w:rsidRDefault="00000000">
            <w:pPr>
              <w:keepNext/>
              <w:jc w:val="center"/>
            </w:pPr>
            <w:r>
              <w:t>DA, analitički po pojedinom korisniku</w:t>
            </w:r>
          </w:p>
        </w:tc>
      </w:tr>
      <w:tr w:rsidR="00E22566" w14:paraId="7FFCA7B5" w14:textId="77777777">
        <w:tc>
          <w:tcPr>
            <w:tcW w:w="350" w:type="pct"/>
            <w:vAlign w:val="center"/>
          </w:tcPr>
          <w:p w14:paraId="79E48428" w14:textId="77777777" w:rsidR="00E22566" w:rsidRDefault="00000000">
            <w:r>
              <w:t>2.</w:t>
            </w:r>
          </w:p>
        </w:tc>
        <w:tc>
          <w:tcPr>
            <w:tcW w:w="1328" w:type="pct"/>
            <w:vAlign w:val="center"/>
          </w:tcPr>
          <w:p w14:paraId="4EAEFB20" w14:textId="77777777" w:rsidR="00E22566" w:rsidRDefault="00000000">
            <w:pPr>
              <w:keepNext/>
              <w:jc w:val="both"/>
            </w:pPr>
            <w:r>
              <w:t>Primljeno jamstvo-bjanko zadužnica za uredno izvršenje ugovora o zakupu poslovnog prostora, Ugostiteljstvo 3D, vl. Zvonko Žiška</w:t>
            </w:r>
          </w:p>
        </w:tc>
        <w:tc>
          <w:tcPr>
            <w:tcW w:w="589" w:type="pct"/>
            <w:vAlign w:val="center"/>
          </w:tcPr>
          <w:p w14:paraId="29E4D990" w14:textId="77777777" w:rsidR="00E22566" w:rsidRDefault="00000000">
            <w:pPr>
              <w:keepNext/>
              <w:jc w:val="center"/>
            </w:pPr>
            <w:r>
              <w:t>18.07.2012.</w:t>
            </w:r>
          </w:p>
        </w:tc>
        <w:tc>
          <w:tcPr>
            <w:tcW w:w="728" w:type="pct"/>
            <w:vAlign w:val="center"/>
          </w:tcPr>
          <w:p w14:paraId="4B7B221C" w14:textId="77777777" w:rsidR="00E22566" w:rsidRDefault="00000000">
            <w:pPr>
              <w:keepNext/>
              <w:jc w:val="right"/>
            </w:pPr>
            <w:r>
              <w:t>1.327,23</w:t>
            </w:r>
          </w:p>
        </w:tc>
        <w:tc>
          <w:tcPr>
            <w:tcW w:w="2002" w:type="pct"/>
            <w:vAlign w:val="center"/>
          </w:tcPr>
          <w:p w14:paraId="4DD859DF" w14:textId="77777777" w:rsidR="00E22566" w:rsidRDefault="00000000">
            <w:pPr>
              <w:keepNext/>
              <w:jc w:val="center"/>
            </w:pPr>
            <w:r>
              <w:t>DA</w:t>
            </w:r>
          </w:p>
        </w:tc>
      </w:tr>
      <w:tr w:rsidR="00E22566" w14:paraId="0760E27B" w14:textId="77777777">
        <w:tc>
          <w:tcPr>
            <w:tcW w:w="350" w:type="pct"/>
            <w:vAlign w:val="center"/>
          </w:tcPr>
          <w:p w14:paraId="1ABAD9F2" w14:textId="77777777" w:rsidR="00E22566" w:rsidRDefault="00000000">
            <w:r>
              <w:t>3.</w:t>
            </w:r>
          </w:p>
        </w:tc>
        <w:tc>
          <w:tcPr>
            <w:tcW w:w="1328" w:type="pct"/>
            <w:vAlign w:val="center"/>
          </w:tcPr>
          <w:p w14:paraId="0D47D0E4" w14:textId="77777777" w:rsidR="00E22566" w:rsidRDefault="00000000">
            <w:pPr>
              <w:keepNext/>
              <w:jc w:val="both"/>
            </w:pPr>
            <w:r>
              <w:t xml:space="preserve">Primljeno jamstvo-bjanko zadužnica za uredno </w:t>
            </w:r>
            <w:r>
              <w:lastRenderedPageBreak/>
              <w:t>izvršenje ugovora, Zaštita inspekt d.o.o.</w:t>
            </w:r>
          </w:p>
        </w:tc>
        <w:tc>
          <w:tcPr>
            <w:tcW w:w="589" w:type="pct"/>
            <w:vAlign w:val="center"/>
          </w:tcPr>
          <w:p w14:paraId="1725623E" w14:textId="77777777" w:rsidR="00E22566" w:rsidRDefault="00000000">
            <w:pPr>
              <w:keepNext/>
              <w:jc w:val="center"/>
            </w:pPr>
            <w:r>
              <w:lastRenderedPageBreak/>
              <w:t>23.03.2017.</w:t>
            </w:r>
          </w:p>
        </w:tc>
        <w:tc>
          <w:tcPr>
            <w:tcW w:w="728" w:type="pct"/>
            <w:vAlign w:val="center"/>
          </w:tcPr>
          <w:p w14:paraId="1036ACD5" w14:textId="77777777" w:rsidR="00E22566" w:rsidRDefault="00000000">
            <w:pPr>
              <w:keepNext/>
              <w:jc w:val="right"/>
            </w:pPr>
            <w:r>
              <w:t>663,61</w:t>
            </w:r>
          </w:p>
        </w:tc>
        <w:tc>
          <w:tcPr>
            <w:tcW w:w="2002" w:type="pct"/>
            <w:vAlign w:val="center"/>
          </w:tcPr>
          <w:p w14:paraId="1C9125B9" w14:textId="77777777" w:rsidR="00E22566" w:rsidRDefault="00000000">
            <w:pPr>
              <w:keepNext/>
              <w:jc w:val="center"/>
            </w:pPr>
            <w:r>
              <w:t>DA</w:t>
            </w:r>
          </w:p>
        </w:tc>
      </w:tr>
      <w:tr w:rsidR="00E22566" w14:paraId="7D81E838" w14:textId="77777777">
        <w:tc>
          <w:tcPr>
            <w:tcW w:w="350" w:type="pct"/>
            <w:vAlign w:val="center"/>
          </w:tcPr>
          <w:p w14:paraId="2ADD4BF9" w14:textId="77777777" w:rsidR="00E22566" w:rsidRDefault="00000000">
            <w:r>
              <w:t>4.</w:t>
            </w:r>
          </w:p>
        </w:tc>
        <w:tc>
          <w:tcPr>
            <w:tcW w:w="1328" w:type="pct"/>
            <w:vAlign w:val="center"/>
          </w:tcPr>
          <w:p w14:paraId="06B84748" w14:textId="77777777" w:rsidR="00E22566" w:rsidRDefault="00000000">
            <w:pPr>
              <w:keepNext/>
              <w:jc w:val="both"/>
            </w:pPr>
            <w:r>
              <w:t>Primljeno jamstvo-bjanko zadužnica za uredno izvršenje ugovora, Saponia d.d.</w:t>
            </w:r>
          </w:p>
        </w:tc>
        <w:tc>
          <w:tcPr>
            <w:tcW w:w="589" w:type="pct"/>
            <w:vAlign w:val="center"/>
          </w:tcPr>
          <w:p w14:paraId="669354FE" w14:textId="77777777" w:rsidR="00E22566" w:rsidRDefault="00000000">
            <w:pPr>
              <w:keepNext/>
              <w:jc w:val="center"/>
            </w:pPr>
            <w:r>
              <w:t>30.01.2020.</w:t>
            </w:r>
          </w:p>
        </w:tc>
        <w:tc>
          <w:tcPr>
            <w:tcW w:w="728" w:type="pct"/>
            <w:vAlign w:val="center"/>
          </w:tcPr>
          <w:p w14:paraId="3D308B2F" w14:textId="77777777" w:rsidR="00E22566" w:rsidRDefault="00000000">
            <w:pPr>
              <w:keepNext/>
              <w:jc w:val="right"/>
            </w:pPr>
            <w:r>
              <w:t>1.327,23</w:t>
            </w:r>
          </w:p>
        </w:tc>
        <w:tc>
          <w:tcPr>
            <w:tcW w:w="2002" w:type="pct"/>
            <w:vAlign w:val="center"/>
          </w:tcPr>
          <w:p w14:paraId="0A586E08" w14:textId="77777777" w:rsidR="00E22566" w:rsidRDefault="00000000">
            <w:pPr>
              <w:keepNext/>
              <w:jc w:val="center"/>
            </w:pPr>
            <w:r>
              <w:t>DA</w:t>
            </w:r>
          </w:p>
        </w:tc>
      </w:tr>
      <w:tr w:rsidR="00E22566" w14:paraId="07739EB7" w14:textId="77777777">
        <w:tc>
          <w:tcPr>
            <w:tcW w:w="350" w:type="pct"/>
            <w:vAlign w:val="center"/>
          </w:tcPr>
          <w:p w14:paraId="7BB698D6" w14:textId="77777777" w:rsidR="00E22566" w:rsidRDefault="00000000">
            <w:r>
              <w:t>5.</w:t>
            </w:r>
          </w:p>
        </w:tc>
        <w:tc>
          <w:tcPr>
            <w:tcW w:w="1328" w:type="pct"/>
            <w:vAlign w:val="center"/>
          </w:tcPr>
          <w:p w14:paraId="27124A8C" w14:textId="77777777" w:rsidR="00E22566" w:rsidRDefault="00000000">
            <w:pPr>
              <w:jc w:val="both"/>
            </w:pPr>
            <w:r>
              <w:t>Primljeno jamstvo-garancija banke za uredno izvršenje ugovora, Vindija d.o.o.</w:t>
            </w:r>
          </w:p>
          <w:p w14:paraId="03C299A1" w14:textId="77777777" w:rsidR="00E22566" w:rsidRDefault="00000000">
            <w:r>
              <w:t>4 garancije banke na sljedeće iznose:</w:t>
            </w:r>
          </w:p>
          <w:p w14:paraId="5B8C74E0" w14:textId="77777777" w:rsidR="00E22566" w:rsidRDefault="00000000">
            <w:r>
              <w:t>1.374,00 EUR</w:t>
            </w:r>
          </w:p>
          <w:p w14:paraId="366CA8D7" w14:textId="77777777" w:rsidR="00E22566" w:rsidRDefault="00000000">
            <w:r>
              <w:t>1.807,25 EUR</w:t>
            </w:r>
          </w:p>
          <w:p w14:paraId="0196166D" w14:textId="77777777" w:rsidR="00E22566" w:rsidRDefault="00000000">
            <w:r>
              <w:t>1.358,00 EUR</w:t>
            </w:r>
          </w:p>
          <w:p w14:paraId="75E710A9" w14:textId="77777777" w:rsidR="00E22566" w:rsidRDefault="00000000">
            <w:pPr>
              <w:jc w:val="both"/>
            </w:pPr>
            <w:r>
              <w:t>1.202,10 EUR</w:t>
            </w:r>
          </w:p>
        </w:tc>
        <w:tc>
          <w:tcPr>
            <w:tcW w:w="589" w:type="pct"/>
            <w:vAlign w:val="center"/>
          </w:tcPr>
          <w:p w14:paraId="3C772506" w14:textId="77777777" w:rsidR="00E22566" w:rsidRDefault="00000000">
            <w:r>
              <w:t> </w:t>
            </w:r>
          </w:p>
          <w:p w14:paraId="41D41F56" w14:textId="77777777" w:rsidR="00E22566" w:rsidRDefault="00000000">
            <w:r>
              <w:t> </w:t>
            </w:r>
          </w:p>
          <w:p w14:paraId="01C2FD03" w14:textId="77777777" w:rsidR="00E22566" w:rsidRDefault="00000000">
            <w:r>
              <w:t> </w:t>
            </w:r>
          </w:p>
          <w:p w14:paraId="30711C9B" w14:textId="77777777" w:rsidR="00E22566" w:rsidRDefault="00000000">
            <w:pPr>
              <w:jc w:val="center"/>
            </w:pPr>
            <w:r>
              <w:t>02.01.2025.</w:t>
            </w:r>
          </w:p>
          <w:p w14:paraId="7E6328D8" w14:textId="77777777" w:rsidR="00E22566" w:rsidRDefault="00000000">
            <w:pPr>
              <w:jc w:val="center"/>
            </w:pPr>
            <w:r>
              <w:t>02.01.2025.</w:t>
            </w:r>
          </w:p>
          <w:p w14:paraId="3D22E2B3" w14:textId="77777777" w:rsidR="00E22566" w:rsidRDefault="00000000">
            <w:pPr>
              <w:jc w:val="center"/>
            </w:pPr>
            <w:r>
              <w:t>16.12.2025.</w:t>
            </w:r>
          </w:p>
          <w:p w14:paraId="7E5FCD28" w14:textId="77777777" w:rsidR="00E22566" w:rsidRDefault="00000000">
            <w:pPr>
              <w:jc w:val="center"/>
            </w:pPr>
            <w:r>
              <w:t>16.12.2025.</w:t>
            </w:r>
          </w:p>
        </w:tc>
        <w:tc>
          <w:tcPr>
            <w:tcW w:w="728" w:type="pct"/>
            <w:vAlign w:val="center"/>
          </w:tcPr>
          <w:p w14:paraId="3C4E7975" w14:textId="77777777" w:rsidR="00E22566" w:rsidRDefault="00000000">
            <w:pPr>
              <w:keepNext/>
              <w:jc w:val="right"/>
            </w:pPr>
            <w:r>
              <w:t>5.741,35</w:t>
            </w:r>
          </w:p>
        </w:tc>
        <w:tc>
          <w:tcPr>
            <w:tcW w:w="2002" w:type="pct"/>
            <w:vAlign w:val="center"/>
          </w:tcPr>
          <w:p w14:paraId="29965625" w14:textId="77777777" w:rsidR="00E22566" w:rsidRDefault="00000000">
            <w:pPr>
              <w:keepNext/>
              <w:jc w:val="center"/>
            </w:pPr>
            <w:r>
              <w:t>DA</w:t>
            </w:r>
          </w:p>
        </w:tc>
      </w:tr>
      <w:tr w:rsidR="00E22566" w14:paraId="3EB40919" w14:textId="77777777">
        <w:tc>
          <w:tcPr>
            <w:tcW w:w="350" w:type="pct"/>
            <w:vAlign w:val="center"/>
          </w:tcPr>
          <w:p w14:paraId="799C7AB7" w14:textId="77777777" w:rsidR="00E22566" w:rsidRDefault="00000000">
            <w:r>
              <w:t>6.</w:t>
            </w:r>
          </w:p>
        </w:tc>
        <w:tc>
          <w:tcPr>
            <w:tcW w:w="1328" w:type="pct"/>
            <w:vAlign w:val="center"/>
          </w:tcPr>
          <w:p w14:paraId="031CAD14" w14:textId="77777777" w:rsidR="00E22566" w:rsidRDefault="00000000">
            <w:pPr>
              <w:jc w:val="both"/>
            </w:pPr>
            <w:r>
              <w:t>Primljeno jamstvo-bjanko zadužnica za uredno izvršenje ugovora, Meteor grupa-Labud d.o.o.</w:t>
            </w:r>
          </w:p>
        </w:tc>
        <w:tc>
          <w:tcPr>
            <w:tcW w:w="589" w:type="pct"/>
            <w:vAlign w:val="center"/>
          </w:tcPr>
          <w:p w14:paraId="7E288FA2" w14:textId="77777777" w:rsidR="00E22566" w:rsidRDefault="00000000">
            <w:pPr>
              <w:jc w:val="center"/>
            </w:pPr>
            <w:r>
              <w:t>27.07.2020.</w:t>
            </w:r>
          </w:p>
        </w:tc>
        <w:tc>
          <w:tcPr>
            <w:tcW w:w="728" w:type="pct"/>
            <w:vAlign w:val="center"/>
          </w:tcPr>
          <w:p w14:paraId="751B42F8" w14:textId="77777777" w:rsidR="00E22566" w:rsidRDefault="00000000">
            <w:pPr>
              <w:keepNext/>
              <w:jc w:val="right"/>
            </w:pPr>
            <w:r>
              <w:t>663,61</w:t>
            </w:r>
          </w:p>
        </w:tc>
        <w:tc>
          <w:tcPr>
            <w:tcW w:w="2002" w:type="pct"/>
            <w:vAlign w:val="center"/>
          </w:tcPr>
          <w:p w14:paraId="31E52472" w14:textId="77777777" w:rsidR="00E22566" w:rsidRDefault="00000000">
            <w:pPr>
              <w:keepNext/>
              <w:jc w:val="center"/>
            </w:pPr>
            <w:r>
              <w:t>DA</w:t>
            </w:r>
          </w:p>
        </w:tc>
      </w:tr>
      <w:tr w:rsidR="00E22566" w14:paraId="0B269584" w14:textId="77777777">
        <w:tc>
          <w:tcPr>
            <w:tcW w:w="350" w:type="pct"/>
            <w:vAlign w:val="center"/>
          </w:tcPr>
          <w:p w14:paraId="1BCDDC33" w14:textId="77777777" w:rsidR="00E22566" w:rsidRDefault="00000000">
            <w:r>
              <w:t>7.</w:t>
            </w:r>
          </w:p>
        </w:tc>
        <w:tc>
          <w:tcPr>
            <w:tcW w:w="1328" w:type="pct"/>
            <w:vAlign w:val="center"/>
          </w:tcPr>
          <w:p w14:paraId="43855B61" w14:textId="77777777" w:rsidR="00E22566" w:rsidRDefault="00000000">
            <w:pPr>
              <w:jc w:val="both"/>
            </w:pPr>
            <w:r>
              <w:t xml:space="preserve">Primljeno jamstvo-bjanko zadužnica za uredno izvršenje ugovora, PEKARA </w:t>
            </w:r>
            <w:r>
              <w:lastRenderedPageBreak/>
              <w:t>ŠAFAR, vl. Matej Šafar</w:t>
            </w:r>
          </w:p>
        </w:tc>
        <w:tc>
          <w:tcPr>
            <w:tcW w:w="589" w:type="pct"/>
            <w:vAlign w:val="center"/>
          </w:tcPr>
          <w:p w14:paraId="6E0F83AF" w14:textId="77777777" w:rsidR="00E22566" w:rsidRDefault="00000000">
            <w:pPr>
              <w:jc w:val="center"/>
            </w:pPr>
            <w:r>
              <w:lastRenderedPageBreak/>
              <w:t>10.01.2023.</w:t>
            </w:r>
          </w:p>
        </w:tc>
        <w:tc>
          <w:tcPr>
            <w:tcW w:w="728" w:type="pct"/>
            <w:vAlign w:val="center"/>
          </w:tcPr>
          <w:p w14:paraId="643BBC8B" w14:textId="77777777" w:rsidR="00E22566" w:rsidRDefault="00000000">
            <w:pPr>
              <w:keepNext/>
              <w:jc w:val="right"/>
            </w:pPr>
            <w:r>
              <w:t>2.000,00</w:t>
            </w:r>
          </w:p>
        </w:tc>
        <w:tc>
          <w:tcPr>
            <w:tcW w:w="2002" w:type="pct"/>
            <w:vAlign w:val="center"/>
          </w:tcPr>
          <w:p w14:paraId="62BD16F5" w14:textId="77777777" w:rsidR="00E22566" w:rsidRDefault="00000000">
            <w:pPr>
              <w:keepNext/>
              <w:jc w:val="center"/>
            </w:pPr>
            <w:r>
              <w:t>DA</w:t>
            </w:r>
          </w:p>
        </w:tc>
      </w:tr>
      <w:tr w:rsidR="00E22566" w14:paraId="4B8F47F9" w14:textId="77777777">
        <w:tc>
          <w:tcPr>
            <w:tcW w:w="350" w:type="pct"/>
            <w:vAlign w:val="center"/>
          </w:tcPr>
          <w:p w14:paraId="62429AA1" w14:textId="77777777" w:rsidR="00E22566" w:rsidRDefault="00000000">
            <w:r>
              <w:t>8.</w:t>
            </w:r>
          </w:p>
        </w:tc>
        <w:tc>
          <w:tcPr>
            <w:tcW w:w="1328" w:type="pct"/>
            <w:vAlign w:val="center"/>
          </w:tcPr>
          <w:p w14:paraId="3032FCBD" w14:textId="77777777" w:rsidR="00E22566" w:rsidRDefault="00000000">
            <w:pPr>
              <w:jc w:val="both"/>
            </w:pPr>
            <w:r>
              <w:t>Primljeno jamstvo-bjanko zadužnica za jamstvo za otklanjanje nedostataka u jamstvenom roku, BEL TEL d.o.o.</w:t>
            </w:r>
          </w:p>
          <w:p w14:paraId="2F16A7DE" w14:textId="77777777" w:rsidR="00E22566" w:rsidRDefault="00000000">
            <w:r>
              <w:t>2 bjanko zadužnice na sljedeće iznose:</w:t>
            </w:r>
          </w:p>
          <w:p w14:paraId="1332B4E3" w14:textId="77777777" w:rsidR="00E22566" w:rsidRDefault="00000000">
            <w:r>
              <w:t>2.000,00 EUR</w:t>
            </w:r>
          </w:p>
          <w:p w14:paraId="1B5215A6" w14:textId="77777777" w:rsidR="00E22566" w:rsidRDefault="00000000">
            <w:r>
              <w:t>10.000,00 EUR</w:t>
            </w:r>
          </w:p>
        </w:tc>
        <w:tc>
          <w:tcPr>
            <w:tcW w:w="589" w:type="pct"/>
            <w:vAlign w:val="center"/>
          </w:tcPr>
          <w:p w14:paraId="37154916" w14:textId="77777777" w:rsidR="00E22566" w:rsidRDefault="00000000">
            <w:r>
              <w:t> </w:t>
            </w:r>
          </w:p>
          <w:p w14:paraId="46A1AB48" w14:textId="77777777" w:rsidR="00E22566" w:rsidRDefault="00000000">
            <w:r>
              <w:t> </w:t>
            </w:r>
          </w:p>
          <w:p w14:paraId="4334BE46" w14:textId="77777777" w:rsidR="00E22566" w:rsidRDefault="00000000">
            <w:r>
              <w:t> </w:t>
            </w:r>
          </w:p>
          <w:p w14:paraId="59746A74" w14:textId="77777777" w:rsidR="00E22566" w:rsidRDefault="00000000">
            <w:pPr>
              <w:jc w:val="center"/>
            </w:pPr>
            <w:r>
              <w:t>05.03.2025</w:t>
            </w:r>
          </w:p>
          <w:p w14:paraId="6224DAFA" w14:textId="77777777" w:rsidR="00E22566" w:rsidRDefault="00000000">
            <w:pPr>
              <w:jc w:val="center"/>
            </w:pPr>
            <w:r>
              <w:t>24.05.2024.</w:t>
            </w:r>
          </w:p>
        </w:tc>
        <w:tc>
          <w:tcPr>
            <w:tcW w:w="728" w:type="pct"/>
            <w:vAlign w:val="center"/>
          </w:tcPr>
          <w:p w14:paraId="3AF185CF" w14:textId="77777777" w:rsidR="00E22566" w:rsidRDefault="00000000">
            <w:pPr>
              <w:keepNext/>
              <w:jc w:val="right"/>
            </w:pPr>
            <w:r>
              <w:t>12.000,00</w:t>
            </w:r>
          </w:p>
        </w:tc>
        <w:tc>
          <w:tcPr>
            <w:tcW w:w="2002" w:type="pct"/>
            <w:vAlign w:val="center"/>
          </w:tcPr>
          <w:p w14:paraId="5EA719A2" w14:textId="77777777" w:rsidR="00E22566" w:rsidRDefault="00000000">
            <w:pPr>
              <w:keepNext/>
              <w:jc w:val="center"/>
            </w:pPr>
            <w:r>
              <w:t>DA</w:t>
            </w:r>
          </w:p>
        </w:tc>
      </w:tr>
      <w:tr w:rsidR="00E22566" w14:paraId="2C9DB484" w14:textId="77777777">
        <w:tc>
          <w:tcPr>
            <w:tcW w:w="350" w:type="pct"/>
            <w:vAlign w:val="center"/>
          </w:tcPr>
          <w:p w14:paraId="52C8F96B" w14:textId="77777777" w:rsidR="00E22566" w:rsidRDefault="00000000">
            <w:r>
              <w:t>9.</w:t>
            </w:r>
          </w:p>
        </w:tc>
        <w:tc>
          <w:tcPr>
            <w:tcW w:w="1328" w:type="pct"/>
            <w:vAlign w:val="center"/>
          </w:tcPr>
          <w:p w14:paraId="03154F2C" w14:textId="77777777" w:rsidR="00E22566" w:rsidRDefault="00000000">
            <w:pPr>
              <w:jc w:val="both"/>
            </w:pPr>
            <w:r>
              <w:t>Primljeno jamstvo-garancija banke za uredno izvršenje ugovora, PERUTNINA PTUJ-PIPO d.o.o. ČAKOVEC</w:t>
            </w:r>
          </w:p>
        </w:tc>
        <w:tc>
          <w:tcPr>
            <w:tcW w:w="589" w:type="pct"/>
            <w:vAlign w:val="center"/>
          </w:tcPr>
          <w:p w14:paraId="638B0188" w14:textId="77777777" w:rsidR="00E22566" w:rsidRDefault="00000000">
            <w:pPr>
              <w:jc w:val="center"/>
            </w:pPr>
            <w:r>
              <w:t>13.01.2025.</w:t>
            </w:r>
          </w:p>
        </w:tc>
        <w:tc>
          <w:tcPr>
            <w:tcW w:w="728" w:type="pct"/>
            <w:vAlign w:val="center"/>
          </w:tcPr>
          <w:p w14:paraId="66C6A13D" w14:textId="77777777" w:rsidR="00E22566" w:rsidRDefault="00000000">
            <w:pPr>
              <w:keepNext/>
              <w:jc w:val="right"/>
            </w:pPr>
            <w:r>
              <w:t>1.040,00</w:t>
            </w:r>
          </w:p>
        </w:tc>
        <w:tc>
          <w:tcPr>
            <w:tcW w:w="2002" w:type="pct"/>
            <w:vAlign w:val="center"/>
          </w:tcPr>
          <w:p w14:paraId="6D24820A" w14:textId="77777777" w:rsidR="00E22566" w:rsidRDefault="00000000">
            <w:pPr>
              <w:keepNext/>
              <w:jc w:val="center"/>
            </w:pPr>
            <w:r>
              <w:t>DA</w:t>
            </w:r>
          </w:p>
        </w:tc>
      </w:tr>
      <w:tr w:rsidR="00E22566" w14:paraId="1FA4C32E" w14:textId="77777777">
        <w:tc>
          <w:tcPr>
            <w:tcW w:w="350" w:type="pct"/>
            <w:vAlign w:val="center"/>
          </w:tcPr>
          <w:p w14:paraId="39230199" w14:textId="77777777" w:rsidR="00E22566" w:rsidRDefault="00000000">
            <w:r>
              <w:t>10.</w:t>
            </w:r>
          </w:p>
        </w:tc>
        <w:tc>
          <w:tcPr>
            <w:tcW w:w="1328" w:type="pct"/>
            <w:vAlign w:val="center"/>
          </w:tcPr>
          <w:p w14:paraId="0F0115AA" w14:textId="77777777" w:rsidR="00E22566" w:rsidRDefault="00000000">
            <w:pPr>
              <w:jc w:val="both"/>
            </w:pPr>
            <w:r>
              <w:t>UKUPNO:</w:t>
            </w:r>
          </w:p>
        </w:tc>
        <w:tc>
          <w:tcPr>
            <w:tcW w:w="589" w:type="pct"/>
            <w:vAlign w:val="center"/>
          </w:tcPr>
          <w:p w14:paraId="37A8CE62" w14:textId="77777777" w:rsidR="00E22566" w:rsidRDefault="00000000">
            <w:r>
              <w:t> </w:t>
            </w:r>
          </w:p>
        </w:tc>
        <w:tc>
          <w:tcPr>
            <w:tcW w:w="728" w:type="pct"/>
            <w:vAlign w:val="center"/>
          </w:tcPr>
          <w:p w14:paraId="62026535" w14:textId="77777777" w:rsidR="00E22566" w:rsidRDefault="00000000">
            <w:pPr>
              <w:keepNext/>
              <w:jc w:val="right"/>
            </w:pPr>
            <w:r>
              <w:t>12.424.568,43</w:t>
            </w:r>
          </w:p>
        </w:tc>
        <w:tc>
          <w:tcPr>
            <w:tcW w:w="2002" w:type="pct"/>
            <w:vAlign w:val="center"/>
          </w:tcPr>
          <w:p w14:paraId="10F199C5" w14:textId="77777777" w:rsidR="00E22566" w:rsidRDefault="00000000">
            <w:pPr>
              <w:keepNext/>
              <w:jc w:val="center"/>
            </w:pPr>
            <w:r>
              <w:t> </w:t>
            </w:r>
          </w:p>
        </w:tc>
      </w:tr>
    </w:tbl>
    <w:p w14:paraId="0EE0806C" w14:textId="77777777" w:rsidR="00E22566" w:rsidRDefault="00000000">
      <w:r>
        <w:t> </w:t>
      </w:r>
    </w:p>
    <w:p w14:paraId="55AB785D" w14:textId="77777777" w:rsidR="00E22566" w:rsidRDefault="00000000">
      <w:r>
        <w:t>Dana jamstva i instrumenti osiguranja plaćanja:</w:t>
      </w:r>
    </w:p>
    <w:tbl>
      <w:tblPr>
        <w:tblStyle w:val="TableGrid"/>
        <w:tblW w:w="3715" w:type="pct"/>
        <w:tblLook w:val="04A0" w:firstRow="1" w:lastRow="0" w:firstColumn="1" w:lastColumn="0" w:noHBand="0" w:noVBand="1"/>
      </w:tblPr>
      <w:tblGrid>
        <w:gridCol w:w="845"/>
        <w:gridCol w:w="1283"/>
        <w:gridCol w:w="1143"/>
        <w:gridCol w:w="1056"/>
        <w:gridCol w:w="2406"/>
      </w:tblGrid>
      <w:tr w:rsidR="00E22566" w14:paraId="0CDD6CF1" w14:textId="77777777">
        <w:tc>
          <w:tcPr>
            <w:tcW w:w="722" w:type="pct"/>
            <w:vAlign w:val="center"/>
          </w:tcPr>
          <w:p w14:paraId="2E356C6A" w14:textId="77777777" w:rsidR="00E22566" w:rsidRDefault="00000000">
            <w:pPr>
              <w:jc w:val="center"/>
            </w:pPr>
            <w:r>
              <w:t>Redni</w:t>
            </w:r>
          </w:p>
          <w:p w14:paraId="528CF62C" w14:textId="77777777" w:rsidR="00E22566" w:rsidRDefault="00000000">
            <w:pPr>
              <w:jc w:val="center"/>
            </w:pPr>
            <w:r>
              <w:t>broj</w:t>
            </w:r>
          </w:p>
        </w:tc>
        <w:tc>
          <w:tcPr>
            <w:tcW w:w="767" w:type="pct"/>
            <w:vAlign w:val="center"/>
          </w:tcPr>
          <w:p w14:paraId="04CCE3C2" w14:textId="77777777" w:rsidR="00E22566" w:rsidRDefault="00000000">
            <w:pPr>
              <w:keepNext/>
              <w:jc w:val="center"/>
            </w:pPr>
            <w:r>
              <w:t>OPIS</w:t>
            </w:r>
          </w:p>
        </w:tc>
        <w:tc>
          <w:tcPr>
            <w:tcW w:w="942" w:type="pct"/>
            <w:vAlign w:val="center"/>
          </w:tcPr>
          <w:p w14:paraId="434A40EC" w14:textId="77777777" w:rsidR="00E22566" w:rsidRDefault="00000000">
            <w:pPr>
              <w:jc w:val="center"/>
            </w:pPr>
            <w:r>
              <w:t>Datum </w:t>
            </w:r>
          </w:p>
          <w:p w14:paraId="12A98776" w14:textId="77777777" w:rsidR="00E22566" w:rsidRDefault="00000000">
            <w:pPr>
              <w:jc w:val="center"/>
            </w:pPr>
            <w:r>
              <w:t>izdavanja</w:t>
            </w:r>
          </w:p>
        </w:tc>
        <w:tc>
          <w:tcPr>
            <w:tcW w:w="686" w:type="pct"/>
            <w:vAlign w:val="center"/>
          </w:tcPr>
          <w:p w14:paraId="0CBE78A9" w14:textId="77777777" w:rsidR="00E22566" w:rsidRDefault="00000000">
            <w:pPr>
              <w:jc w:val="center"/>
            </w:pPr>
            <w:r>
              <w:t>Iznos </w:t>
            </w:r>
          </w:p>
          <w:p w14:paraId="0227A71E" w14:textId="77777777" w:rsidR="00E22566" w:rsidRDefault="00000000">
            <w:pPr>
              <w:jc w:val="center"/>
            </w:pPr>
            <w:r>
              <w:t>(EUR)</w:t>
            </w:r>
          </w:p>
        </w:tc>
        <w:tc>
          <w:tcPr>
            <w:tcW w:w="1880" w:type="pct"/>
            <w:vAlign w:val="center"/>
          </w:tcPr>
          <w:p w14:paraId="4642D475" w14:textId="77777777" w:rsidR="00E22566" w:rsidRDefault="00000000">
            <w:pPr>
              <w:keepNext/>
              <w:jc w:val="center"/>
            </w:pPr>
            <w:r>
              <w:t>Izvanbilančna evidencija </w:t>
            </w:r>
          </w:p>
        </w:tc>
      </w:tr>
      <w:tr w:rsidR="00E22566" w14:paraId="3E15D0B6" w14:textId="77777777">
        <w:tc>
          <w:tcPr>
            <w:tcW w:w="722" w:type="pct"/>
            <w:vAlign w:val="center"/>
          </w:tcPr>
          <w:p w14:paraId="25A91B44" w14:textId="77777777" w:rsidR="00E22566" w:rsidRDefault="00000000">
            <w:pPr>
              <w:jc w:val="center"/>
            </w:pPr>
            <w:r>
              <w:t>1.</w:t>
            </w:r>
          </w:p>
        </w:tc>
        <w:tc>
          <w:tcPr>
            <w:tcW w:w="767" w:type="pct"/>
            <w:vAlign w:val="center"/>
          </w:tcPr>
          <w:p w14:paraId="6387BEA4" w14:textId="77777777" w:rsidR="00E22566" w:rsidRDefault="00000000">
            <w:pPr>
              <w:keepNext/>
              <w:jc w:val="center"/>
            </w:pPr>
            <w:r>
              <w:t>Dano jamstvo-bjanko zadužnica tvrtki INA d.d.</w:t>
            </w:r>
          </w:p>
        </w:tc>
        <w:tc>
          <w:tcPr>
            <w:tcW w:w="942" w:type="pct"/>
            <w:vAlign w:val="center"/>
          </w:tcPr>
          <w:p w14:paraId="69A98998" w14:textId="77777777" w:rsidR="00E22566" w:rsidRDefault="00000000">
            <w:pPr>
              <w:jc w:val="center"/>
            </w:pPr>
            <w:r>
              <w:t>2014.</w:t>
            </w:r>
          </w:p>
        </w:tc>
        <w:tc>
          <w:tcPr>
            <w:tcW w:w="686" w:type="pct"/>
            <w:vAlign w:val="center"/>
          </w:tcPr>
          <w:p w14:paraId="28107B44" w14:textId="77777777" w:rsidR="00E22566" w:rsidRDefault="00000000">
            <w:pPr>
              <w:jc w:val="right"/>
            </w:pPr>
            <w:r>
              <w:t>2.654,46</w:t>
            </w:r>
          </w:p>
        </w:tc>
        <w:tc>
          <w:tcPr>
            <w:tcW w:w="1880" w:type="pct"/>
            <w:vAlign w:val="center"/>
          </w:tcPr>
          <w:p w14:paraId="1B559A86" w14:textId="77777777" w:rsidR="00E22566" w:rsidRDefault="00000000">
            <w:pPr>
              <w:keepNext/>
              <w:jc w:val="center"/>
            </w:pPr>
            <w:r>
              <w:t>DA</w:t>
            </w:r>
          </w:p>
        </w:tc>
      </w:tr>
      <w:tr w:rsidR="00E22566" w14:paraId="1FA70E89" w14:textId="77777777">
        <w:tc>
          <w:tcPr>
            <w:tcW w:w="722" w:type="pct"/>
            <w:vAlign w:val="center"/>
          </w:tcPr>
          <w:p w14:paraId="65F49B46" w14:textId="77777777" w:rsidR="00E22566" w:rsidRDefault="00000000">
            <w:pPr>
              <w:jc w:val="center"/>
            </w:pPr>
            <w:r>
              <w:t>2.</w:t>
            </w:r>
          </w:p>
        </w:tc>
        <w:tc>
          <w:tcPr>
            <w:tcW w:w="767" w:type="pct"/>
            <w:vAlign w:val="center"/>
          </w:tcPr>
          <w:p w14:paraId="73F5BF5E" w14:textId="77777777" w:rsidR="00E22566" w:rsidRDefault="00000000">
            <w:pPr>
              <w:keepNext/>
              <w:jc w:val="center"/>
            </w:pPr>
            <w:r>
              <w:t>UKUPNO:</w:t>
            </w:r>
          </w:p>
        </w:tc>
        <w:tc>
          <w:tcPr>
            <w:tcW w:w="942" w:type="pct"/>
            <w:vAlign w:val="center"/>
          </w:tcPr>
          <w:p w14:paraId="35BB6B6A" w14:textId="77777777" w:rsidR="00E22566" w:rsidRDefault="00000000">
            <w:pPr>
              <w:jc w:val="center"/>
            </w:pPr>
            <w:r>
              <w:t> </w:t>
            </w:r>
          </w:p>
        </w:tc>
        <w:tc>
          <w:tcPr>
            <w:tcW w:w="686" w:type="pct"/>
            <w:vAlign w:val="center"/>
          </w:tcPr>
          <w:p w14:paraId="72149B7E" w14:textId="77777777" w:rsidR="00E22566" w:rsidRDefault="00000000">
            <w:pPr>
              <w:jc w:val="right"/>
            </w:pPr>
            <w:r>
              <w:t>2.654,46</w:t>
            </w:r>
          </w:p>
        </w:tc>
        <w:tc>
          <w:tcPr>
            <w:tcW w:w="1880" w:type="pct"/>
            <w:vAlign w:val="center"/>
          </w:tcPr>
          <w:p w14:paraId="1B9E36BF" w14:textId="77777777" w:rsidR="00E22566" w:rsidRDefault="00000000">
            <w:pPr>
              <w:keepNext/>
              <w:jc w:val="center"/>
            </w:pPr>
            <w:r>
              <w:t> </w:t>
            </w:r>
          </w:p>
        </w:tc>
      </w:tr>
    </w:tbl>
    <w:p w14:paraId="66E56CBE" w14:textId="77777777" w:rsidR="00E22566" w:rsidRDefault="00000000">
      <w:r>
        <w:t> </w:t>
      </w:r>
    </w:p>
    <w:p w14:paraId="0A89A019" w14:textId="77777777" w:rsidR="00E22566" w:rsidRDefault="00E22566"/>
    <w:p w14:paraId="5CCFA836" w14:textId="77777777" w:rsidR="00E22566" w:rsidRDefault="00000000">
      <w:pPr>
        <w:keepNext/>
        <w:spacing w:line="240" w:lineRule="auto"/>
        <w:jc w:val="center"/>
      </w:pPr>
      <w:r>
        <w:rPr>
          <w:sz w:val="28"/>
        </w:rPr>
        <w:lastRenderedPageBreak/>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70638A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75043F"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30BC8E"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BE5AFF"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B5A015" w14:textId="77777777" w:rsidR="00E2256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CB2F5A" w14:textId="77777777" w:rsidR="00E2256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E474D9" w14:textId="77777777" w:rsidR="00E22566" w:rsidRDefault="00000000">
            <w:pPr>
              <w:keepNext/>
              <w:keepLines/>
              <w:spacing w:after="0" w:line="240" w:lineRule="auto"/>
              <w:jc w:val="center"/>
            </w:pPr>
            <w:r>
              <w:rPr>
                <w:b/>
                <w:sz w:val="18"/>
              </w:rPr>
              <w:t>Indeks (%)</w:t>
            </w:r>
          </w:p>
        </w:tc>
      </w:tr>
      <w:tr w:rsidR="00E22566" w14:paraId="2DA4559F" w14:textId="77777777">
        <w:tblPrEx>
          <w:tblCellMar>
            <w:top w:w="0" w:type="dxa"/>
            <w:bottom w:w="0" w:type="dxa"/>
          </w:tblCellMar>
        </w:tblPrEx>
        <w:trPr>
          <w:cantSplit/>
          <w:trHeight w:val="560"/>
        </w:trPr>
        <w:tc>
          <w:tcPr>
            <w:tcW w:w="700" w:type="dxa"/>
            <w:tcMar>
              <w:top w:w="0" w:type="dxa"/>
              <w:bottom w:w="0" w:type="dxa"/>
            </w:tcMar>
            <w:vAlign w:val="center"/>
          </w:tcPr>
          <w:p w14:paraId="35D50402" w14:textId="77777777" w:rsidR="00E22566" w:rsidRDefault="00000000">
            <w:pPr>
              <w:keepNext/>
              <w:keepLines/>
              <w:spacing w:after="0" w:line="240" w:lineRule="auto"/>
            </w:pPr>
            <w:r>
              <w:rPr>
                <w:sz w:val="18"/>
              </w:rPr>
              <w:t>92224</w:t>
            </w:r>
          </w:p>
        </w:tc>
        <w:tc>
          <w:tcPr>
            <w:tcW w:w="3180" w:type="dxa"/>
            <w:tcMar>
              <w:top w:w="0" w:type="dxa"/>
              <w:bottom w:w="0" w:type="dxa"/>
            </w:tcMar>
            <w:vAlign w:val="center"/>
          </w:tcPr>
          <w:p w14:paraId="480781D7" w14:textId="77777777" w:rsidR="00E22566" w:rsidRDefault="00000000">
            <w:pPr>
              <w:keepNext/>
              <w:keepLines/>
              <w:spacing w:after="0" w:line="240" w:lineRule="auto"/>
            </w:pPr>
            <w:r>
              <w:rPr>
                <w:sz w:val="18"/>
              </w:rPr>
              <w:t>Manjak prihoda poslovanja - ispravci iz prethodnih razdoblja</w:t>
            </w:r>
          </w:p>
        </w:tc>
        <w:tc>
          <w:tcPr>
            <w:tcW w:w="700" w:type="dxa"/>
            <w:tcMar>
              <w:top w:w="0" w:type="dxa"/>
              <w:bottom w:w="0" w:type="dxa"/>
            </w:tcMar>
            <w:vAlign w:val="center"/>
          </w:tcPr>
          <w:p w14:paraId="630CE906" w14:textId="77777777" w:rsidR="00E22566" w:rsidRDefault="00000000">
            <w:pPr>
              <w:keepNext/>
              <w:keepLines/>
              <w:spacing w:after="0" w:line="240" w:lineRule="auto"/>
            </w:pPr>
            <w:r>
              <w:rPr>
                <w:sz w:val="18"/>
              </w:rPr>
              <w:t>92224</w:t>
            </w:r>
          </w:p>
        </w:tc>
        <w:tc>
          <w:tcPr>
            <w:tcW w:w="1860" w:type="dxa"/>
            <w:tcMar>
              <w:top w:w="0" w:type="dxa"/>
              <w:bottom w:w="0" w:type="dxa"/>
            </w:tcMar>
            <w:vAlign w:val="center"/>
          </w:tcPr>
          <w:p w14:paraId="015475CF" w14:textId="77777777" w:rsidR="00E22566" w:rsidRDefault="00000000">
            <w:pPr>
              <w:keepNext/>
              <w:keepLines/>
              <w:spacing w:after="0" w:line="240" w:lineRule="auto"/>
              <w:jc w:val="right"/>
            </w:pPr>
            <w:r>
              <w:rPr>
                <w:sz w:val="18"/>
              </w:rPr>
              <w:t>0,00</w:t>
            </w:r>
          </w:p>
        </w:tc>
        <w:tc>
          <w:tcPr>
            <w:tcW w:w="1860" w:type="dxa"/>
            <w:tcMar>
              <w:top w:w="0" w:type="dxa"/>
              <w:bottom w:w="0" w:type="dxa"/>
            </w:tcMar>
            <w:vAlign w:val="center"/>
          </w:tcPr>
          <w:p w14:paraId="20382586" w14:textId="77777777" w:rsidR="00E22566" w:rsidRDefault="00000000">
            <w:pPr>
              <w:keepNext/>
              <w:keepLines/>
              <w:spacing w:after="0" w:line="240" w:lineRule="auto"/>
              <w:jc w:val="right"/>
            </w:pPr>
            <w:r>
              <w:rPr>
                <w:sz w:val="18"/>
              </w:rPr>
              <w:t>17,18</w:t>
            </w:r>
          </w:p>
        </w:tc>
        <w:tc>
          <w:tcPr>
            <w:tcW w:w="700" w:type="dxa"/>
            <w:tcMar>
              <w:top w:w="0" w:type="dxa"/>
              <w:bottom w:w="0" w:type="dxa"/>
            </w:tcMar>
            <w:vAlign w:val="center"/>
          </w:tcPr>
          <w:p w14:paraId="25043650" w14:textId="77777777" w:rsidR="00E22566" w:rsidRDefault="00000000">
            <w:pPr>
              <w:keepNext/>
              <w:keepLines/>
              <w:spacing w:after="0" w:line="240" w:lineRule="auto"/>
              <w:jc w:val="right"/>
            </w:pPr>
            <w:r>
              <w:rPr>
                <w:sz w:val="18"/>
              </w:rPr>
              <w:t>-</w:t>
            </w:r>
          </w:p>
        </w:tc>
      </w:tr>
    </w:tbl>
    <w:p w14:paraId="14757996" w14:textId="77777777" w:rsidR="00E22566" w:rsidRDefault="00E22566">
      <w:pPr>
        <w:spacing w:after="0"/>
      </w:pPr>
    </w:p>
    <w:p w14:paraId="79C62FE4" w14:textId="77777777" w:rsidR="00E22566" w:rsidRDefault="00000000">
      <w:r>
        <w:t>Iznos 17,18 EUR odnosi na manjak prihoda poslovanja – ispravci iz prethodnih razdoblja zbog konačnog obračuna prilikom usklađenja s HZZ, a radi doznačenih i potrošenih sredstava za radnicu zaposlenu preko mjere JAVNI RAD POSAO+ i njihovim zahtjevom za povratom više uplaćenih sredstava.</w:t>
      </w:r>
    </w:p>
    <w:p w14:paraId="43282F75" w14:textId="77777777" w:rsidR="00E22566" w:rsidRDefault="00E22566"/>
    <w:p w14:paraId="77B173D7" w14:textId="77777777" w:rsidR="00E22566" w:rsidRDefault="00000000">
      <w:pPr>
        <w:keepNext/>
        <w:spacing w:line="240" w:lineRule="auto"/>
        <w:jc w:val="center"/>
      </w:pPr>
      <w:r>
        <w:rPr>
          <w:b/>
          <w:sz w:val="28"/>
        </w:rPr>
        <w:t>Izvještaj o rashodima prema funkcijskoj klasifikaciji</w:t>
      </w:r>
    </w:p>
    <w:p w14:paraId="6DB6053A" w14:textId="77777777" w:rsidR="00E22566"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412E77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F3614D"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E8C214"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6A63E4"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86E782" w14:textId="77777777" w:rsidR="00E2256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6C6396" w14:textId="77777777" w:rsidR="00E2256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35208B" w14:textId="77777777" w:rsidR="00E22566" w:rsidRDefault="00000000">
            <w:pPr>
              <w:keepNext/>
              <w:keepLines/>
              <w:spacing w:after="0" w:line="240" w:lineRule="auto"/>
              <w:jc w:val="center"/>
            </w:pPr>
            <w:r>
              <w:rPr>
                <w:b/>
                <w:sz w:val="18"/>
              </w:rPr>
              <w:t>Indeks (%)</w:t>
            </w:r>
          </w:p>
        </w:tc>
      </w:tr>
      <w:tr w:rsidR="00E22566" w14:paraId="168C0E7A" w14:textId="77777777">
        <w:tblPrEx>
          <w:tblCellMar>
            <w:top w:w="0" w:type="dxa"/>
            <w:bottom w:w="0" w:type="dxa"/>
          </w:tblCellMar>
        </w:tblPrEx>
        <w:trPr>
          <w:cantSplit/>
          <w:trHeight w:val="560"/>
        </w:trPr>
        <w:tc>
          <w:tcPr>
            <w:tcW w:w="700" w:type="dxa"/>
            <w:tcMar>
              <w:top w:w="0" w:type="dxa"/>
              <w:bottom w:w="0" w:type="dxa"/>
            </w:tcMar>
            <w:vAlign w:val="center"/>
          </w:tcPr>
          <w:p w14:paraId="2EA7441F" w14:textId="77777777" w:rsidR="00E22566" w:rsidRDefault="00000000">
            <w:pPr>
              <w:keepNext/>
              <w:keepLines/>
              <w:spacing w:after="0" w:line="240" w:lineRule="auto"/>
            </w:pPr>
            <w:r>
              <w:rPr>
                <w:sz w:val="18"/>
              </w:rPr>
              <w:t>102</w:t>
            </w:r>
          </w:p>
        </w:tc>
        <w:tc>
          <w:tcPr>
            <w:tcW w:w="3180" w:type="dxa"/>
            <w:tcMar>
              <w:top w:w="0" w:type="dxa"/>
              <w:bottom w:w="0" w:type="dxa"/>
            </w:tcMar>
            <w:vAlign w:val="center"/>
          </w:tcPr>
          <w:p w14:paraId="61ED1859" w14:textId="77777777" w:rsidR="00E22566" w:rsidRDefault="00000000">
            <w:pPr>
              <w:keepNext/>
              <w:keepLines/>
              <w:spacing w:after="0" w:line="240" w:lineRule="auto"/>
            </w:pPr>
            <w:r>
              <w:rPr>
                <w:sz w:val="18"/>
              </w:rPr>
              <w:t>Starost</w:t>
            </w:r>
          </w:p>
        </w:tc>
        <w:tc>
          <w:tcPr>
            <w:tcW w:w="700" w:type="dxa"/>
            <w:tcMar>
              <w:top w:w="0" w:type="dxa"/>
              <w:bottom w:w="0" w:type="dxa"/>
            </w:tcMar>
            <w:vAlign w:val="center"/>
          </w:tcPr>
          <w:p w14:paraId="5FCC0C49" w14:textId="77777777" w:rsidR="00E22566" w:rsidRDefault="00000000">
            <w:pPr>
              <w:keepNext/>
              <w:keepLines/>
              <w:spacing w:after="0" w:line="240" w:lineRule="auto"/>
            </w:pPr>
            <w:r>
              <w:rPr>
                <w:sz w:val="18"/>
              </w:rPr>
              <w:t>102</w:t>
            </w:r>
          </w:p>
        </w:tc>
        <w:tc>
          <w:tcPr>
            <w:tcW w:w="1860" w:type="dxa"/>
            <w:tcMar>
              <w:top w:w="0" w:type="dxa"/>
              <w:bottom w:w="0" w:type="dxa"/>
            </w:tcMar>
            <w:vAlign w:val="center"/>
          </w:tcPr>
          <w:p w14:paraId="32003353" w14:textId="77777777" w:rsidR="00E22566" w:rsidRDefault="00000000">
            <w:pPr>
              <w:keepNext/>
              <w:keepLines/>
              <w:spacing w:after="0" w:line="240" w:lineRule="auto"/>
              <w:jc w:val="right"/>
            </w:pPr>
            <w:r>
              <w:rPr>
                <w:sz w:val="18"/>
              </w:rPr>
              <w:t>2.070.153,27</w:t>
            </w:r>
          </w:p>
        </w:tc>
        <w:tc>
          <w:tcPr>
            <w:tcW w:w="1860" w:type="dxa"/>
            <w:tcMar>
              <w:top w:w="0" w:type="dxa"/>
              <w:bottom w:w="0" w:type="dxa"/>
            </w:tcMar>
            <w:vAlign w:val="center"/>
          </w:tcPr>
          <w:p w14:paraId="4CBDB2B8" w14:textId="77777777" w:rsidR="00E22566" w:rsidRDefault="00000000">
            <w:pPr>
              <w:keepNext/>
              <w:keepLines/>
              <w:spacing w:after="0" w:line="240" w:lineRule="auto"/>
              <w:jc w:val="right"/>
            </w:pPr>
            <w:r>
              <w:rPr>
                <w:sz w:val="18"/>
              </w:rPr>
              <w:t>2.335.736,90</w:t>
            </w:r>
          </w:p>
        </w:tc>
        <w:tc>
          <w:tcPr>
            <w:tcW w:w="700" w:type="dxa"/>
            <w:tcMar>
              <w:top w:w="0" w:type="dxa"/>
              <w:bottom w:w="0" w:type="dxa"/>
            </w:tcMar>
            <w:vAlign w:val="center"/>
          </w:tcPr>
          <w:p w14:paraId="247E2632" w14:textId="77777777" w:rsidR="00E22566" w:rsidRDefault="00000000">
            <w:pPr>
              <w:keepNext/>
              <w:keepLines/>
              <w:spacing w:after="0" w:line="240" w:lineRule="auto"/>
              <w:jc w:val="right"/>
            </w:pPr>
            <w:r>
              <w:rPr>
                <w:sz w:val="18"/>
              </w:rPr>
              <w:t>112,8</w:t>
            </w:r>
          </w:p>
        </w:tc>
      </w:tr>
    </w:tbl>
    <w:p w14:paraId="16142EA5" w14:textId="77777777" w:rsidR="00E22566" w:rsidRDefault="00E22566">
      <w:pPr>
        <w:spacing w:after="0"/>
      </w:pPr>
    </w:p>
    <w:p w14:paraId="1F4E3EFE" w14:textId="77777777" w:rsidR="00E22566" w:rsidRDefault="00000000">
      <w:r>
        <w:t>Pod brojčanom oznakom funkcijske klasifikacije starost u okviru socijalne zaštite tj. na poziciji 102 Starost u okviru socijalne zaštite u iznosu 2.335.736,90 EUR iskazani su cijelokupni rashodi, budući je Dom za starije i nemoćne osobe Požega javna  ustanova koja obavlja socijalne usluge skrbi i njege o odraslim starijim i nemoćnim osobama.</w:t>
      </w:r>
    </w:p>
    <w:p w14:paraId="17D361F4" w14:textId="77777777" w:rsidR="00E22566" w:rsidRDefault="00000000">
      <w:r>
        <w:t> </w:t>
      </w:r>
    </w:p>
    <w:p w14:paraId="236192A7" w14:textId="77777777" w:rsidR="00E22566" w:rsidRDefault="00E22566"/>
    <w:p w14:paraId="7143CF4E" w14:textId="77777777" w:rsidR="00E22566" w:rsidRDefault="00000000">
      <w:pPr>
        <w:keepNext/>
        <w:spacing w:line="240" w:lineRule="auto"/>
        <w:jc w:val="center"/>
      </w:pPr>
      <w:r>
        <w:rPr>
          <w:b/>
          <w:sz w:val="28"/>
        </w:rPr>
        <w:t>Promjene u vrijednosti i obujmu imovine i obveza</w:t>
      </w:r>
    </w:p>
    <w:p w14:paraId="5174DDD8" w14:textId="77777777" w:rsidR="00E22566"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22566" w14:paraId="2C2BD7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6F80B6"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A98668"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9617C7"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1AF885" w14:textId="77777777" w:rsidR="00E2256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7BCEE3E" w14:textId="77777777" w:rsidR="00E2256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60C97E5" w14:textId="77777777" w:rsidR="00E22566" w:rsidRDefault="00000000">
            <w:pPr>
              <w:keepNext/>
              <w:keepLines/>
              <w:spacing w:after="0" w:line="240" w:lineRule="auto"/>
              <w:jc w:val="center"/>
            </w:pPr>
            <w:r>
              <w:rPr>
                <w:b/>
                <w:sz w:val="18"/>
              </w:rPr>
              <w:t>Indeks (%)</w:t>
            </w:r>
          </w:p>
        </w:tc>
      </w:tr>
      <w:tr w:rsidR="00E22566" w14:paraId="1C739BD4" w14:textId="77777777">
        <w:tblPrEx>
          <w:tblCellMar>
            <w:top w:w="0" w:type="dxa"/>
            <w:bottom w:w="0" w:type="dxa"/>
          </w:tblCellMar>
        </w:tblPrEx>
        <w:trPr>
          <w:cantSplit/>
          <w:trHeight w:val="560"/>
        </w:trPr>
        <w:tc>
          <w:tcPr>
            <w:tcW w:w="700" w:type="dxa"/>
            <w:tcMar>
              <w:top w:w="0" w:type="dxa"/>
              <w:bottom w:w="0" w:type="dxa"/>
            </w:tcMar>
            <w:vAlign w:val="center"/>
          </w:tcPr>
          <w:p w14:paraId="28FFC281" w14:textId="77777777" w:rsidR="00E22566" w:rsidRDefault="00000000">
            <w:pPr>
              <w:keepNext/>
              <w:keepLines/>
              <w:spacing w:after="0" w:line="240" w:lineRule="auto"/>
            </w:pPr>
            <w:r>
              <w:rPr>
                <w:sz w:val="18"/>
              </w:rPr>
              <w:t>9151</w:t>
            </w:r>
          </w:p>
        </w:tc>
        <w:tc>
          <w:tcPr>
            <w:tcW w:w="3180" w:type="dxa"/>
            <w:tcMar>
              <w:top w:w="0" w:type="dxa"/>
              <w:bottom w:w="0" w:type="dxa"/>
            </w:tcMar>
            <w:vAlign w:val="center"/>
          </w:tcPr>
          <w:p w14:paraId="76D590B9" w14:textId="77777777" w:rsidR="00E22566"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7A1DFC72" w14:textId="77777777" w:rsidR="00E22566" w:rsidRDefault="00000000">
            <w:pPr>
              <w:keepNext/>
              <w:keepLines/>
              <w:spacing w:after="0" w:line="240" w:lineRule="auto"/>
            </w:pPr>
            <w:r>
              <w:rPr>
                <w:sz w:val="18"/>
              </w:rPr>
              <w:t>9151</w:t>
            </w:r>
          </w:p>
        </w:tc>
        <w:tc>
          <w:tcPr>
            <w:tcW w:w="1860" w:type="dxa"/>
            <w:tcMar>
              <w:top w:w="0" w:type="dxa"/>
              <w:bottom w:w="0" w:type="dxa"/>
            </w:tcMar>
            <w:vAlign w:val="center"/>
          </w:tcPr>
          <w:p w14:paraId="6B6A8956" w14:textId="77777777" w:rsidR="00E22566" w:rsidRDefault="00000000">
            <w:pPr>
              <w:keepNext/>
              <w:keepLines/>
              <w:spacing w:after="0" w:line="240" w:lineRule="auto"/>
              <w:jc w:val="right"/>
            </w:pPr>
            <w:r>
              <w:rPr>
                <w:sz w:val="18"/>
              </w:rPr>
              <w:t>0,00</w:t>
            </w:r>
          </w:p>
        </w:tc>
        <w:tc>
          <w:tcPr>
            <w:tcW w:w="1860" w:type="dxa"/>
            <w:tcMar>
              <w:top w:w="0" w:type="dxa"/>
              <w:bottom w:w="0" w:type="dxa"/>
            </w:tcMar>
            <w:vAlign w:val="center"/>
          </w:tcPr>
          <w:p w14:paraId="7123A60B" w14:textId="77777777" w:rsidR="00E22566" w:rsidRDefault="00000000">
            <w:pPr>
              <w:keepNext/>
              <w:keepLines/>
              <w:spacing w:after="0" w:line="240" w:lineRule="auto"/>
              <w:jc w:val="right"/>
            </w:pPr>
            <w:r>
              <w:rPr>
                <w:sz w:val="18"/>
              </w:rPr>
              <w:t>0,00</w:t>
            </w:r>
          </w:p>
        </w:tc>
        <w:tc>
          <w:tcPr>
            <w:tcW w:w="700" w:type="dxa"/>
            <w:tcMar>
              <w:top w:w="0" w:type="dxa"/>
              <w:bottom w:w="0" w:type="dxa"/>
            </w:tcMar>
            <w:vAlign w:val="center"/>
          </w:tcPr>
          <w:p w14:paraId="7FA5F34C" w14:textId="77777777" w:rsidR="00E22566" w:rsidRDefault="00000000">
            <w:pPr>
              <w:keepNext/>
              <w:keepLines/>
              <w:spacing w:after="0" w:line="240" w:lineRule="auto"/>
              <w:jc w:val="right"/>
            </w:pPr>
            <w:r>
              <w:rPr>
                <w:sz w:val="18"/>
              </w:rPr>
              <w:t>-</w:t>
            </w:r>
          </w:p>
        </w:tc>
      </w:tr>
    </w:tbl>
    <w:p w14:paraId="1A2DD92D" w14:textId="77777777" w:rsidR="00E22566" w:rsidRDefault="00E22566">
      <w:pPr>
        <w:spacing w:after="0"/>
      </w:pPr>
    </w:p>
    <w:p w14:paraId="6BF15FEC" w14:textId="77777777" w:rsidR="00E22566" w:rsidRDefault="00000000">
      <w:r>
        <w:t>Promjena u obujmu i vrijednosti imovine i obveza u razdoblju od 01.01.-31.12.2025. godine nije bilo stoga je izvještaj prazan.</w:t>
      </w:r>
    </w:p>
    <w:p w14:paraId="25F9D300" w14:textId="77777777" w:rsidR="00E22566" w:rsidRDefault="00E22566"/>
    <w:p w14:paraId="7C2080FC" w14:textId="77777777" w:rsidR="00E22566" w:rsidRDefault="00000000">
      <w:pPr>
        <w:keepNext/>
        <w:spacing w:line="240" w:lineRule="auto"/>
        <w:jc w:val="center"/>
      </w:pPr>
      <w:r>
        <w:rPr>
          <w:b/>
          <w:sz w:val="28"/>
        </w:rPr>
        <w:lastRenderedPageBreak/>
        <w:t>Izvještaj o obvezama</w:t>
      </w:r>
    </w:p>
    <w:p w14:paraId="06014986" w14:textId="77777777" w:rsidR="00E22566"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22566" w14:paraId="75DB7C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6E4476"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455834"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55AE1D"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0565AD" w14:textId="77777777" w:rsidR="00E2256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A1A8134" w14:textId="77777777" w:rsidR="00E22566" w:rsidRDefault="00000000">
            <w:pPr>
              <w:keepNext/>
              <w:keepLines/>
              <w:spacing w:after="0" w:line="240" w:lineRule="auto"/>
              <w:jc w:val="center"/>
            </w:pPr>
            <w:r>
              <w:rPr>
                <w:b/>
                <w:sz w:val="18"/>
              </w:rPr>
              <w:t>Indeks (%)</w:t>
            </w:r>
          </w:p>
        </w:tc>
      </w:tr>
      <w:tr w:rsidR="00E22566" w14:paraId="12A18316" w14:textId="77777777">
        <w:tblPrEx>
          <w:tblCellMar>
            <w:top w:w="0" w:type="dxa"/>
            <w:bottom w:w="0" w:type="dxa"/>
          </w:tblCellMar>
        </w:tblPrEx>
        <w:trPr>
          <w:cantSplit/>
          <w:trHeight w:val="560"/>
        </w:trPr>
        <w:tc>
          <w:tcPr>
            <w:tcW w:w="700" w:type="dxa"/>
            <w:tcMar>
              <w:top w:w="0" w:type="dxa"/>
              <w:bottom w:w="0" w:type="dxa"/>
            </w:tcMar>
            <w:vAlign w:val="center"/>
          </w:tcPr>
          <w:p w14:paraId="0037FE2E" w14:textId="77777777" w:rsidR="00E22566" w:rsidRDefault="00E22566">
            <w:pPr>
              <w:keepNext/>
              <w:keepLines/>
              <w:spacing w:after="0" w:line="240" w:lineRule="auto"/>
            </w:pPr>
          </w:p>
        </w:tc>
        <w:tc>
          <w:tcPr>
            <w:tcW w:w="3180" w:type="dxa"/>
            <w:tcMar>
              <w:top w:w="0" w:type="dxa"/>
              <w:bottom w:w="0" w:type="dxa"/>
            </w:tcMar>
            <w:vAlign w:val="center"/>
          </w:tcPr>
          <w:p w14:paraId="7F1EDBC9" w14:textId="77777777" w:rsidR="00E22566"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DE2AD3F" w14:textId="77777777" w:rsidR="00E22566" w:rsidRDefault="00000000">
            <w:pPr>
              <w:keepNext/>
              <w:keepLines/>
              <w:spacing w:after="0" w:line="240" w:lineRule="auto"/>
            </w:pPr>
            <w:r>
              <w:rPr>
                <w:sz w:val="18"/>
              </w:rPr>
              <w:t>V007</w:t>
            </w:r>
          </w:p>
        </w:tc>
        <w:tc>
          <w:tcPr>
            <w:tcW w:w="1860" w:type="dxa"/>
            <w:tcMar>
              <w:top w:w="0" w:type="dxa"/>
              <w:bottom w:w="0" w:type="dxa"/>
            </w:tcMar>
            <w:vAlign w:val="center"/>
          </w:tcPr>
          <w:p w14:paraId="5C1D4272" w14:textId="77777777" w:rsidR="00E22566" w:rsidRDefault="00000000">
            <w:pPr>
              <w:keepNext/>
              <w:keepLines/>
              <w:spacing w:after="0" w:line="240" w:lineRule="auto"/>
              <w:jc w:val="right"/>
            </w:pPr>
            <w:r>
              <w:rPr>
                <w:sz w:val="18"/>
              </w:rPr>
              <w:t>0,00</w:t>
            </w:r>
          </w:p>
        </w:tc>
        <w:tc>
          <w:tcPr>
            <w:tcW w:w="700" w:type="dxa"/>
            <w:tcMar>
              <w:top w:w="0" w:type="dxa"/>
              <w:bottom w:w="0" w:type="dxa"/>
            </w:tcMar>
            <w:vAlign w:val="center"/>
          </w:tcPr>
          <w:p w14:paraId="698AF337" w14:textId="77777777" w:rsidR="00E22566" w:rsidRDefault="00000000">
            <w:pPr>
              <w:keepNext/>
              <w:keepLines/>
              <w:spacing w:after="0" w:line="240" w:lineRule="auto"/>
              <w:jc w:val="right"/>
            </w:pPr>
            <w:r>
              <w:rPr>
                <w:sz w:val="18"/>
              </w:rPr>
              <w:t>-</w:t>
            </w:r>
          </w:p>
        </w:tc>
      </w:tr>
    </w:tbl>
    <w:p w14:paraId="592EB15E" w14:textId="77777777" w:rsidR="00E22566" w:rsidRDefault="00E22566">
      <w:pPr>
        <w:spacing w:after="0"/>
      </w:pPr>
    </w:p>
    <w:p w14:paraId="6F573CD6" w14:textId="77777777" w:rsidR="00E22566" w:rsidRDefault="00000000">
      <w:r>
        <w:t>Na dan 31.12.2025. godine su sve pristigle dospjele obveze sa 31.12.2025 godine podmirene. </w:t>
      </w:r>
    </w:p>
    <w:p w14:paraId="00C5C7D8" w14:textId="77777777" w:rsidR="00E22566" w:rsidRDefault="00000000">
      <w:r>
        <w:t>Stanje obveza na dan 31.12.2025. godine iznosi 183.704,23 EUR.  Na dan 31.12.2025. godine sve obveze su nedospjele.</w:t>
      </w:r>
    </w:p>
    <w:p w14:paraId="3E9064BD" w14:textId="77777777" w:rsidR="00E22566" w:rsidRDefault="00000000">
      <w:r>
        <w:t> </w:t>
      </w:r>
    </w:p>
    <w:p w14:paraId="44757423" w14:textId="77777777" w:rsidR="00E22566" w:rsidRDefault="00E22566"/>
    <w:p w14:paraId="68F540F9" w14:textId="77777777" w:rsidR="00E22566"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22566" w14:paraId="28879B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CA7DA1" w14:textId="77777777" w:rsidR="00E2256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4255EB" w14:textId="77777777" w:rsidR="00E2256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E6D656" w14:textId="77777777" w:rsidR="00E2256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B98366" w14:textId="77777777" w:rsidR="00E2256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6F2B7F3" w14:textId="77777777" w:rsidR="00E22566" w:rsidRDefault="00000000">
            <w:pPr>
              <w:keepNext/>
              <w:keepLines/>
              <w:spacing w:after="0" w:line="240" w:lineRule="auto"/>
              <w:jc w:val="center"/>
            </w:pPr>
            <w:r>
              <w:rPr>
                <w:b/>
                <w:sz w:val="18"/>
              </w:rPr>
              <w:t>Indeks (%)</w:t>
            </w:r>
          </w:p>
        </w:tc>
      </w:tr>
      <w:tr w:rsidR="00E22566" w14:paraId="59BDE856" w14:textId="77777777">
        <w:tblPrEx>
          <w:tblCellMar>
            <w:top w:w="0" w:type="dxa"/>
            <w:bottom w:w="0" w:type="dxa"/>
          </w:tblCellMar>
        </w:tblPrEx>
        <w:trPr>
          <w:cantSplit/>
          <w:trHeight w:val="560"/>
        </w:trPr>
        <w:tc>
          <w:tcPr>
            <w:tcW w:w="700" w:type="dxa"/>
            <w:tcMar>
              <w:top w:w="0" w:type="dxa"/>
              <w:bottom w:w="0" w:type="dxa"/>
            </w:tcMar>
            <w:vAlign w:val="center"/>
          </w:tcPr>
          <w:p w14:paraId="755AD184" w14:textId="77777777" w:rsidR="00E22566" w:rsidRDefault="00E22566">
            <w:pPr>
              <w:keepNext/>
              <w:keepLines/>
              <w:spacing w:after="0" w:line="240" w:lineRule="auto"/>
            </w:pPr>
          </w:p>
        </w:tc>
        <w:tc>
          <w:tcPr>
            <w:tcW w:w="3180" w:type="dxa"/>
            <w:tcMar>
              <w:top w:w="0" w:type="dxa"/>
              <w:bottom w:w="0" w:type="dxa"/>
            </w:tcMar>
            <w:vAlign w:val="center"/>
          </w:tcPr>
          <w:p w14:paraId="38249FCD" w14:textId="77777777" w:rsidR="00E22566"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70135635" w14:textId="77777777" w:rsidR="00E22566" w:rsidRDefault="00000000">
            <w:pPr>
              <w:keepNext/>
              <w:keepLines/>
              <w:spacing w:after="0" w:line="240" w:lineRule="auto"/>
            </w:pPr>
            <w:r>
              <w:rPr>
                <w:sz w:val="18"/>
              </w:rPr>
              <w:t>V009</w:t>
            </w:r>
          </w:p>
        </w:tc>
        <w:tc>
          <w:tcPr>
            <w:tcW w:w="1860" w:type="dxa"/>
            <w:tcMar>
              <w:top w:w="0" w:type="dxa"/>
              <w:bottom w:w="0" w:type="dxa"/>
            </w:tcMar>
            <w:vAlign w:val="center"/>
          </w:tcPr>
          <w:p w14:paraId="30DF2E2F" w14:textId="77777777" w:rsidR="00E22566" w:rsidRDefault="00000000">
            <w:pPr>
              <w:keepNext/>
              <w:keepLines/>
              <w:spacing w:after="0" w:line="240" w:lineRule="auto"/>
              <w:jc w:val="right"/>
            </w:pPr>
            <w:r>
              <w:rPr>
                <w:sz w:val="18"/>
              </w:rPr>
              <w:t>183.704,23</w:t>
            </w:r>
          </w:p>
        </w:tc>
        <w:tc>
          <w:tcPr>
            <w:tcW w:w="700" w:type="dxa"/>
            <w:tcMar>
              <w:top w:w="0" w:type="dxa"/>
              <w:bottom w:w="0" w:type="dxa"/>
            </w:tcMar>
            <w:vAlign w:val="center"/>
          </w:tcPr>
          <w:p w14:paraId="7CFB8F85" w14:textId="77777777" w:rsidR="00E22566" w:rsidRDefault="00000000">
            <w:pPr>
              <w:keepNext/>
              <w:keepLines/>
              <w:spacing w:after="0" w:line="240" w:lineRule="auto"/>
              <w:jc w:val="right"/>
            </w:pPr>
            <w:r>
              <w:rPr>
                <w:sz w:val="18"/>
              </w:rPr>
              <w:t>-</w:t>
            </w:r>
          </w:p>
        </w:tc>
      </w:tr>
    </w:tbl>
    <w:p w14:paraId="6587115E" w14:textId="77777777" w:rsidR="00E22566" w:rsidRDefault="00E22566">
      <w:pPr>
        <w:spacing w:after="0"/>
      </w:pPr>
    </w:p>
    <w:p w14:paraId="09B23318" w14:textId="77777777" w:rsidR="00E22566" w:rsidRDefault="00000000">
      <w:r>
        <w:t>Nedospjele obveze u iznosu od 183.704,23 odnose se na :</w:t>
      </w:r>
    </w:p>
    <w:p w14:paraId="145EE16F" w14:textId="77777777" w:rsidR="00E22566" w:rsidRDefault="00000000">
      <w:r>
        <w:t>-          obveze za zaposlene u iznosu od 150.648,92 EUR, a koje će biti plaćene u siječnju 2026. godine,</w:t>
      </w:r>
    </w:p>
    <w:p w14:paraId="16FB1E44" w14:textId="77777777" w:rsidR="00E22566" w:rsidRDefault="00000000">
      <w:r>
        <w:t>-          obveze za depozite i jamčevne pologe u iznosu od 6.305,47 EUR,</w:t>
      </w:r>
    </w:p>
    <w:p w14:paraId="3AC4E05C" w14:textId="77777777" w:rsidR="00E22566" w:rsidRDefault="00000000">
      <w:r>
        <w:t>-          obveze za materijalne rashode nastale u 2025. godini, ali im je rok dospjeća u siječnju ili veljači 2026. godine, a iznose 26.749,84 EUR.</w:t>
      </w:r>
    </w:p>
    <w:p w14:paraId="36774EAC" w14:textId="77777777" w:rsidR="00D4604D" w:rsidRDefault="00D4604D"/>
    <w:p w14:paraId="3EAAB9BF" w14:textId="77777777" w:rsidR="00D4604D" w:rsidRDefault="00D4604D"/>
    <w:p w14:paraId="66639CC0" w14:textId="0911A031" w:rsidR="00D4604D" w:rsidRDefault="00D4604D">
      <w:r>
        <w:t>POTPIS ODGOVORNE OSOBE ZA                                            RAVNATELJICA:</w:t>
      </w:r>
    </w:p>
    <w:p w14:paraId="00AE4DD3" w14:textId="22F56AFA" w:rsidR="00D4604D" w:rsidRDefault="00D4604D">
      <w:r>
        <w:t xml:space="preserve">        RAČUNOVODSTVO:</w:t>
      </w:r>
    </w:p>
    <w:p w14:paraId="2BB85525" w14:textId="576254F4" w:rsidR="00D4604D" w:rsidRDefault="00D4604D">
      <w:r>
        <w:t xml:space="preserve">       Jelena Jelušić, mag.oec.                                                  Ružica Alaber, dipl.soc.radnica</w:t>
      </w:r>
    </w:p>
    <w:p w14:paraId="2DDFF21B" w14:textId="77777777" w:rsidR="00E22566" w:rsidRDefault="00E22566"/>
    <w:sectPr w:rsidR="00E225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66"/>
    <w:rsid w:val="008C314B"/>
    <w:rsid w:val="00D4604D"/>
    <w:rsid w:val="00E22566"/>
    <w:rsid w:val="00EB3785"/>
    <w:rsid w:val="00ED5E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45E6"/>
  <w15:docId w15:val="{E1AD3CE7-5943-401F-A93C-3722BF07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6412</Words>
  <Characters>36554</Characters>
  <Application>Microsoft Office Word</Application>
  <DocSecurity>0</DocSecurity>
  <Lines>304</Lines>
  <Paragraphs>85</Paragraphs>
  <ScaleCrop>false</ScaleCrop>
  <Company/>
  <LinksUpToDate>false</LinksUpToDate>
  <CharactersWithSpaces>42881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Jelena Jelušić</cp:lastModifiedBy>
  <cp:revision>4</cp:revision>
  <cp:lastPrinted>2026-01-27T11:12:00Z</cp:lastPrinted>
  <dcterms:created xsi:type="dcterms:W3CDTF">2026-01-27T11:06:00Z</dcterms:created>
  <dcterms:modified xsi:type="dcterms:W3CDTF">2026-01-27T11:29:00Z</dcterms:modified>
</cp:coreProperties>
</file>